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The Global Alliance for Vaccines and Immunization</w:t>
            </w:r>
          </w:p>
        </w:tc>
      </w:tr>
    </w:tbl>
    <w:p>
      <w:pPr/>
      <w:r>
        <w:rPr>
          <w:b w:val="1"/>
          <w:bCs w:val="1"/>
        </w:rPr>
        <w:t xml:space="preserve">Gavi has been assisting Nepal since 2000 as a part of its global campaign of improving access for immunization in the world’s poorest countries. </w:t>
      </w:r>
      <w:r>
        <w:rPr>
          <w:b w:val="1"/>
          <w:bCs w:val="1"/>
        </w:rPr>
        <w:t xml:space="preserve">Its</w:t>
      </w:r>
      <w:r>
        <w:rPr>
          <w:b w:val="1"/>
          <w:bCs w:val="1"/>
        </w:rPr>
        <w:t xml:space="preserve"> goal is creating equal access to new and underused vaccines for children living in the world’s poorest countries since its establishment in 2000.</w:t>
      </w:r>
    </w:p>
    <w:p>
      <w:pPr/>
      <w:r>
        <w:rPr>
          <w:color w:val="2596be"/>
          <w:b w:val="1"/>
          <w:bCs w:val="1"/>
        </w:rPr>
        <w:t xml:space="preserve">Bilateral Relations</w:t>
      </w:r>
    </w:p>
    <w:p>
      <w:pPr>
        <w:jc w:val="both"/>
      </w:pPr>
      <w:r>
        <w:rPr>
          <w:color w:val="black"/>
        </w:rPr>
        <w:t xml:space="preserve">Gavi, The Global Alliance for Vaccines and Immunizations previously the GAVI Alliance</w:t>
      </w:r>
      <w:r>
        <w:rPr>
          <w:color w:val="black"/>
        </w:rPr>
        <w:t xml:space="preserve">— </w:t>
      </w:r>
      <w:r>
        <w:rPr>
          <w:color w:val="black"/>
        </w:rPr>
        <w:t xml:space="preserve">is a public</w:t>
      </w:r>
      <w:r>
        <w:rPr>
          <w:color w:val="black"/>
        </w:rPr>
        <w:t xml:space="preserve">–</w:t>
      </w:r>
      <w:r>
        <w:rPr>
          <w:color w:val="black"/>
        </w:rPr>
        <w:t xml:space="preserve">private partnership which is committed to increasing access to immunization in poor countries</w:t>
      </w:r>
      <w:r>
        <w:rPr>
          <w:color w:val="black"/>
        </w:rPr>
        <w:t xml:space="preserve">. </w:t>
      </w:r>
      <w:r>
        <w:rPr>
          <w:color w:val="black"/>
        </w:rPr>
        <w:t xml:space="preserve">The Geneva, Switzerland based organization was created in January 2000 with the help of a US$ 750 million five</w:t>
      </w:r>
      <w:r>
        <w:rPr>
          <w:color w:val="black"/>
        </w:rPr>
        <w:t xml:space="preserve">-</w:t>
      </w:r>
      <w:r>
        <w:rPr>
          <w:color w:val="black"/>
        </w:rPr>
        <w:t xml:space="preserve">year pledge from the Bill &amp; Melinda Gates Foundation aiming to bring together the public and private sectors with the shared goal of creating equal access to new and underused vaccines for children living in the third world</w:t>
      </w:r>
      <w:r>
        <w:rPr>
          <w:color w:val="black"/>
        </w:rPr>
        <w:t xml:space="preserve">.</w:t>
      </w:r>
    </w:p>
    <w:p>
      <w:pPr>
        <w:jc w:val="both"/>
      </w:pPr>
      <w:r>
        <w:rPr>
          <w:color w:val="black"/>
        </w:rPr>
        <w:t xml:space="preserve">Gavi</w:t>
      </w:r>
      <w:r>
        <w:rPr>
          <w:color w:val="black"/>
        </w:rPr>
        <w:t xml:space="preserve">’</w:t>
      </w:r>
      <w:r>
        <w:rPr>
          <w:color w:val="black"/>
        </w:rPr>
        <w:t xml:space="preserve">s mission is to save children</w:t>
      </w:r>
      <w:r>
        <w:rPr>
          <w:color w:val="black"/>
        </w:rPr>
        <w:t xml:space="preserve">’</w:t>
      </w:r>
      <w:r>
        <w:rPr>
          <w:color w:val="black"/>
        </w:rPr>
        <w:t xml:space="preserve">s lives and protect people</w:t>
      </w:r>
      <w:r>
        <w:rPr>
          <w:color w:val="black"/>
        </w:rPr>
        <w:t xml:space="preserve">’</w:t>
      </w:r>
      <w:r>
        <w:rPr>
          <w:color w:val="black"/>
        </w:rPr>
        <w:t xml:space="preserve">s health by increasing equitable use of vaccines in lower</w:t>
      </w:r>
      <w:r>
        <w:rPr>
          <w:color w:val="black"/>
        </w:rPr>
        <w:t xml:space="preserve">-</w:t>
      </w:r>
      <w:r>
        <w:rPr>
          <w:color w:val="black"/>
        </w:rPr>
        <w:t xml:space="preserve">income countries</w:t>
      </w:r>
      <w:r>
        <w:rPr>
          <w:color w:val="black"/>
        </w:rPr>
        <w:t xml:space="preserve">. </w:t>
      </w:r>
      <w:r>
        <w:rPr>
          <w:color w:val="black"/>
        </w:rPr>
        <w:t xml:space="preserve">In June 2014, the Gavi Board approved a new five</w:t>
      </w:r>
      <w:r>
        <w:rPr>
          <w:color w:val="black"/>
        </w:rPr>
        <w:t xml:space="preserve">-</w:t>
      </w:r>
      <w:r>
        <w:rPr>
          <w:color w:val="black"/>
        </w:rPr>
        <w:t xml:space="preserve">year strategy to ensure its overall mission for 2016</w:t>
      </w:r>
      <w:r>
        <w:rPr>
          <w:color w:val="black"/>
        </w:rPr>
        <w:t xml:space="preserve">–</w:t>
      </w:r>
      <w:r>
        <w:rPr>
          <w:color w:val="black"/>
        </w:rPr>
        <w:t xml:space="preserve">2020</w:t>
      </w:r>
      <w:r>
        <w:rPr>
          <w:color w:val="black"/>
        </w:rPr>
        <w:t xml:space="preserve">. </w:t>
      </w:r>
      <w:r>
        <w:rPr>
          <w:color w:val="black"/>
        </w:rPr>
        <w:t xml:space="preserve">The mission is guided by four strategic goals</w:t>
      </w:r>
      <w:r>
        <w:rPr>
          <w:color w:val="black"/>
        </w:rPr>
        <w:t xml:space="preserve">: (</w:t>
      </w:r>
      <w:r>
        <w:rPr>
          <w:color w:val="black"/>
        </w:rPr>
        <w:t xml:space="preserve">1</w:t>
      </w:r>
      <w:r>
        <w:rPr>
          <w:color w:val="black"/>
        </w:rPr>
        <w:t xml:space="preserve">) </w:t>
      </w:r>
      <w:r>
        <w:rPr>
          <w:color w:val="black"/>
        </w:rPr>
        <w:t xml:space="preserve">Vaccine Goal </w:t>
      </w:r>
      <w:r>
        <w:rPr>
          <w:color w:val="black"/>
        </w:rPr>
        <w:t xml:space="preserve">(</w:t>
      </w:r>
      <w:r>
        <w:rPr>
          <w:color w:val="black"/>
        </w:rPr>
        <w:t xml:space="preserve">accelerate equitable uptake and coverage of vaccines</w:t>
      </w:r>
      <w:r>
        <w:rPr>
          <w:color w:val="black"/>
        </w:rPr>
        <w:t xml:space="preserve">)</w:t>
      </w:r>
      <w:r>
        <w:rPr>
          <w:color w:val="black"/>
        </w:rPr>
        <w:t xml:space="preserve">, </w:t>
      </w:r>
      <w:r>
        <w:rPr>
          <w:color w:val="black"/>
        </w:rPr>
        <w:t xml:space="preserve">(</w:t>
      </w:r>
      <w:r>
        <w:rPr>
          <w:color w:val="black"/>
        </w:rPr>
        <w:t xml:space="preserve">2</w:t>
      </w:r>
      <w:r>
        <w:rPr>
          <w:color w:val="black"/>
        </w:rPr>
        <w:t xml:space="preserve">) </w:t>
      </w:r>
      <w:r>
        <w:rPr>
          <w:color w:val="black"/>
        </w:rPr>
        <w:t xml:space="preserve">Health Systems Goal </w:t>
      </w:r>
      <w:r>
        <w:rPr>
          <w:color w:val="black"/>
        </w:rPr>
        <w:t xml:space="preserve">(</w:t>
      </w:r>
      <w:r>
        <w:rPr>
          <w:color w:val="black"/>
        </w:rPr>
        <w:t xml:space="preserve">3</w:t>
      </w:r>
      <w:r>
        <w:rPr>
          <w:color w:val="black"/>
        </w:rPr>
        <w:t xml:space="preserve">) </w:t>
      </w:r>
      <w:r>
        <w:rPr>
          <w:color w:val="black"/>
        </w:rPr>
        <w:t xml:space="preserve">Sustainability Goal </w:t>
      </w:r>
      <w:r>
        <w:rPr>
          <w:color w:val="black"/>
        </w:rPr>
        <w:t xml:space="preserve">(</w:t>
      </w:r>
      <w:r>
        <w:rPr>
          <w:color w:val="black"/>
        </w:rPr>
        <w:t xml:space="preserve">improving sustainability of national immunization programs</w:t>
      </w:r>
      <w:r>
        <w:rPr>
          <w:color w:val="black"/>
        </w:rPr>
        <w:t xml:space="preserve">)</w:t>
      </w:r>
      <w:r>
        <w:rPr>
          <w:color w:val="black"/>
        </w:rPr>
        <w:t xml:space="preserve">, and </w:t>
      </w:r>
      <w:r>
        <w:rPr>
          <w:color w:val="black"/>
        </w:rPr>
        <w:t xml:space="preserve">(</w:t>
      </w:r>
      <w:r>
        <w:rPr>
          <w:color w:val="black"/>
        </w:rPr>
        <w:t xml:space="preserve">4</w:t>
      </w:r>
      <w:r>
        <w:rPr>
          <w:color w:val="black"/>
        </w:rPr>
        <w:t xml:space="preserve">) </w:t>
      </w:r>
      <w:r>
        <w:rPr>
          <w:color w:val="black"/>
        </w:rPr>
        <w:t xml:space="preserve">Market Shaping Goal </w:t>
      </w:r>
      <w:r>
        <w:rPr>
          <w:color w:val="black"/>
        </w:rPr>
        <w:t xml:space="preserve">(</w:t>
      </w:r>
      <w:r>
        <w:rPr>
          <w:color w:val="black"/>
        </w:rPr>
        <w:t xml:space="preserve">shape markets for vaccines and other immunization products</w:t>
      </w:r>
      <w:r>
        <w:rPr>
          <w:color w:val="black"/>
        </w:rPr>
        <w:t xml:space="preserve">).</w:t>
      </w:r>
    </w:p>
    <w:p>
      <w:pPr>
        <w:jc w:val="both"/>
      </w:pPr>
      <w:r>
        <w:rPr>
          <w:color w:val="black"/>
        </w:rPr>
        <w:t xml:space="preserve">Gavi is governed by a Board with membership drawn from a range of partner organizations, as well as experts from the private sector</w:t>
      </w:r>
      <w:r>
        <w:rPr>
          <w:color w:val="black"/>
        </w:rPr>
        <w:t xml:space="preserve">. </w:t>
      </w:r>
      <w:r>
        <w:rPr>
          <w:color w:val="black"/>
        </w:rPr>
        <w:t xml:space="preserve">The Board is comprised of 18 </w:t>
      </w:r>
      <w:r>
        <w:rPr>
          <w:color w:val="black"/>
        </w:rPr>
        <w:t xml:space="preserve">“</w:t>
      </w:r>
      <w:r>
        <w:rPr>
          <w:color w:val="black"/>
        </w:rPr>
        <w:t xml:space="preserve">representative</w:t>
      </w:r>
      <w:r>
        <w:rPr>
          <w:color w:val="black"/>
        </w:rPr>
        <w:t xml:space="preserve">” </w:t>
      </w:r>
      <w:r>
        <w:rPr>
          <w:color w:val="black"/>
        </w:rPr>
        <w:t xml:space="preserve">seats, 9 seats for independent or </w:t>
      </w:r>
      <w:r>
        <w:rPr>
          <w:color w:val="black"/>
        </w:rPr>
        <w:t xml:space="preserve">“</w:t>
      </w:r>
      <w:r>
        <w:rPr>
          <w:color w:val="black"/>
        </w:rPr>
        <w:t xml:space="preserve">unaffiliated</w:t>
      </w:r>
      <w:r>
        <w:rPr>
          <w:color w:val="black"/>
        </w:rPr>
        <w:t xml:space="preserve">” </w:t>
      </w:r>
      <w:r>
        <w:rPr>
          <w:color w:val="black"/>
        </w:rPr>
        <w:t xml:space="preserve">individuals and one seat for Gavi</w:t>
      </w:r>
      <w:r>
        <w:rPr>
          <w:color w:val="black"/>
        </w:rPr>
        <w:t xml:space="preserve">’</w:t>
      </w:r>
      <w:r>
        <w:rPr>
          <w:color w:val="black"/>
        </w:rPr>
        <w:t xml:space="preserve">s CEO</w:t>
      </w:r>
      <w:r>
        <w:rPr>
          <w:color w:val="black"/>
        </w:rPr>
        <w:t xml:space="preserve">. </w:t>
      </w:r>
      <w:r>
        <w:rPr>
          <w:color w:val="black"/>
        </w:rPr>
        <w:t xml:space="preserve">Board members are appointed by the existing Board members subject to and in accordance with the statutes and by</w:t>
      </w:r>
      <w:r>
        <w:rPr>
          <w:color w:val="black"/>
        </w:rPr>
        <w:t xml:space="preserve">-</w:t>
      </w:r>
      <w:r>
        <w:rPr>
          <w:color w:val="black"/>
        </w:rPr>
        <w:t xml:space="preserve">laws</w:t>
      </w:r>
      <w:r>
        <w:rPr>
          <w:color w:val="black"/>
        </w:rPr>
        <w:t xml:space="preserve">. </w:t>
      </w:r>
    </w:p>
    <w:p>
      <w:pPr>
        <w:jc w:val="both"/>
      </w:pPr>
      <w:r>
        <w:rPr>
          <w:color w:val="black"/>
        </w:rPr>
        <w:t xml:space="preserve">COVAX</w:t>
      </w:r>
      <w:r>
        <w:rPr>
          <w:color w:val="black"/>
        </w:rPr>
        <w:t xml:space="preserve"> is known as the vaccines pillar of the Access to COVID</w:t>
      </w:r>
      <w:r>
        <w:rPr>
          <w:color w:val="black"/>
        </w:rPr>
        <w:t xml:space="preserve">-</w:t>
      </w:r>
      <w:r>
        <w:rPr>
          <w:color w:val="black"/>
        </w:rPr>
        <w:t xml:space="preserve">19 Tools </w:t>
      </w:r>
      <w:r>
        <w:rPr>
          <w:color w:val="black"/>
        </w:rPr>
        <w:t xml:space="preserve">(</w:t>
      </w:r>
      <w:r>
        <w:rPr>
          <w:color w:val="black"/>
        </w:rPr>
        <w:t xml:space="preserve">ACT</w:t>
      </w:r>
      <w:r>
        <w:rPr>
          <w:color w:val="black"/>
        </w:rPr>
        <w:t xml:space="preserve">) </w:t>
      </w:r>
      <w:r>
        <w:rPr>
          <w:color w:val="black"/>
        </w:rPr>
        <w:t xml:space="preserve">Accelerator which is co</w:t>
      </w:r>
      <w:r>
        <w:rPr>
          <w:color w:val="black"/>
        </w:rPr>
        <w:t xml:space="preserve">-</w:t>
      </w:r>
      <w:r>
        <w:rPr>
          <w:color w:val="black"/>
        </w:rPr>
        <w:t xml:space="preserve">led by Gavi, the Coalition for Epidemic Preparedness Innovations </w:t>
      </w:r>
      <w:r>
        <w:rPr>
          <w:color w:val="black"/>
        </w:rPr>
        <w:t xml:space="preserve">(</w:t>
      </w:r>
      <w:r>
        <w:rPr>
          <w:color w:val="black"/>
        </w:rPr>
        <w:t xml:space="preserve">CEPI</w:t>
      </w:r>
      <w:r>
        <w:rPr>
          <w:color w:val="black"/>
        </w:rPr>
        <w:t xml:space="preserve">) </w:t>
      </w:r>
      <w:r>
        <w:rPr>
          <w:color w:val="black"/>
        </w:rPr>
        <w:t xml:space="preserve">and WHO</w:t>
      </w:r>
      <w:r>
        <w:rPr>
          <w:color w:val="black"/>
        </w:rPr>
        <w:t xml:space="preserve">. </w:t>
      </w:r>
      <w:r>
        <w:rPr>
          <w:color w:val="black"/>
        </w:rPr>
        <w:t xml:space="preserve">In 2020, the</w:t>
      </w:r>
      <w:r>
        <w:rPr>
          <w:color w:val="black"/>
        </w:rPr>
        <w:t xml:space="preserve"> Bill &amp; Melinda Gates Foundation has announced a five</w:t>
      </w:r>
      <w:r>
        <w:rPr>
          <w:color w:val="black"/>
        </w:rPr>
        <w:t xml:space="preserve">-</w:t>
      </w:r>
      <w:r>
        <w:rPr>
          <w:color w:val="black"/>
        </w:rPr>
        <w:t xml:space="preserve">year, US$1</w:t>
      </w:r>
      <w:r>
        <w:rPr>
          <w:color w:val="black"/>
        </w:rPr>
        <w:t xml:space="preserve">.</w:t>
      </w:r>
      <w:r>
        <w:rPr>
          <w:color w:val="black"/>
        </w:rPr>
        <w:t xml:space="preserve">6 billion commitment to Gavi, the Vaccine Alliance, to deliver lifesaving vaccines to the world</w:t>
      </w:r>
      <w:r>
        <w:rPr>
          <w:color w:val="black"/>
        </w:rPr>
        <w:t xml:space="preserve">’</w:t>
      </w:r>
      <w:r>
        <w:rPr>
          <w:color w:val="black"/>
        </w:rPr>
        <w:t xml:space="preserve">s poorest countries</w:t>
      </w:r>
      <w:r>
        <w:rPr>
          <w:color w:val="black"/>
        </w:rPr>
        <w:t xml:space="preserve">.</w:t>
      </w:r>
    </w:p>
    <w:p>
      <w:pPr/>
      <w:r>
        <w:rPr>
          <w:color w:val="2596be"/>
          <w:b w:val="1"/>
          <w:bCs w:val="1"/>
        </w:rPr>
        <w:t xml:space="preserve">Development Cooperation </w:t>
      </w:r>
    </w:p>
    <w:p>
      <w:pPr>
        <w:jc w:val="both"/>
      </w:pPr>
      <w:r>
        <w:rPr>
          <w:color w:val="black"/>
        </w:rPr>
        <w:t xml:space="preserve">Gavi has been assisting Nepal since 2000 as a part of its global campaign of improving access for immunization in the world</w:t>
      </w:r>
      <w:r>
        <w:rPr>
          <w:color w:val="black"/>
        </w:rPr>
        <w:t xml:space="preserve">’</w:t>
      </w:r>
      <w:r>
        <w:rPr>
          <w:color w:val="black"/>
        </w:rPr>
        <w:t xml:space="preserve">s poorest countries</w:t>
      </w:r>
      <w:r>
        <w:rPr>
          <w:color w:val="black"/>
        </w:rPr>
        <w:t xml:space="preserve">. </w:t>
      </w:r>
      <w:r>
        <w:rPr>
          <w:color w:val="black"/>
        </w:rPr>
        <w:t xml:space="preserve">To date Gavi has supported Nepal with cash support </w:t>
      </w:r>
      <w:r>
        <w:rPr>
          <w:color w:val="black"/>
        </w:rPr>
        <w:t xml:space="preserve">(</w:t>
      </w:r>
      <w:r>
        <w:rPr>
          <w:color w:val="black"/>
        </w:rPr>
        <w:t xml:space="preserve">CASHSUPP</w:t>
      </w:r>
      <w:r>
        <w:rPr>
          <w:color w:val="black"/>
        </w:rPr>
        <w:t xml:space="preserve">)</w:t>
      </w:r>
      <w:r>
        <w:rPr>
          <w:color w:val="black"/>
        </w:rPr>
        <w:t xml:space="preserve">, health system strengthening </w:t>
      </w:r>
      <w:r>
        <w:rPr>
          <w:color w:val="black"/>
        </w:rPr>
        <w:t xml:space="preserve">(</w:t>
      </w:r>
      <w:r>
        <w:rPr>
          <w:color w:val="black"/>
        </w:rPr>
        <w:t xml:space="preserve">HSS</w:t>
      </w:r>
      <w:r>
        <w:rPr>
          <w:color w:val="black"/>
        </w:rPr>
        <w:t xml:space="preserve">)</w:t>
      </w:r>
      <w:r>
        <w:rPr>
          <w:color w:val="black"/>
        </w:rPr>
        <w:t xml:space="preserve">, new vaccine support </w:t>
      </w:r>
      <w:r>
        <w:rPr>
          <w:color w:val="black"/>
        </w:rPr>
        <w:t xml:space="preserve">(</w:t>
      </w:r>
      <w:r>
        <w:rPr>
          <w:color w:val="black"/>
        </w:rPr>
        <w:t xml:space="preserve">NVS</w:t>
      </w:r>
      <w:r>
        <w:rPr>
          <w:color w:val="black"/>
        </w:rPr>
        <w:t xml:space="preserve">) </w:t>
      </w:r>
      <w:r>
        <w:rPr>
          <w:color w:val="black"/>
        </w:rPr>
        <w:t xml:space="preserve">for the introduction of HepB mono, HPV demonstration, immunization services support </w:t>
      </w:r>
      <w:r>
        <w:rPr>
          <w:color w:val="black"/>
        </w:rPr>
        <w:t xml:space="preserve">(</w:t>
      </w:r>
      <w:r>
        <w:rPr>
          <w:color w:val="black"/>
        </w:rPr>
        <w:t xml:space="preserve">ISS</w:t>
      </w:r>
      <w:r>
        <w:rPr>
          <w:color w:val="black"/>
        </w:rPr>
        <w:t xml:space="preserve">)</w:t>
      </w:r>
      <w:r>
        <w:rPr>
          <w:color w:val="black"/>
        </w:rPr>
        <w:t xml:space="preserve">, injection safety devices, injection safety support, and vaccine introduction grants </w:t>
      </w:r>
      <w:r>
        <w:rPr>
          <w:color w:val="black"/>
        </w:rPr>
        <w:t xml:space="preserve">(</w:t>
      </w:r>
      <w:r>
        <w:rPr>
          <w:color w:val="black"/>
        </w:rPr>
        <w:t xml:space="preserve">VIG</w:t>
      </w:r>
      <w:r>
        <w:rPr>
          <w:color w:val="black"/>
        </w:rPr>
        <w:t xml:space="preserve">). </w:t>
      </w:r>
    </w:p>
    <w:p>
      <w:pPr>
        <w:jc w:val="both"/>
      </w:pPr>
      <w:r>
        <w:rPr>
          <w:color w:val="black"/>
        </w:rPr>
        <w:t xml:space="preserve">Nepal</w:t>
      </w:r>
      <w:r>
        <w:rPr>
          <w:color w:val="black"/>
        </w:rPr>
        <w:t xml:space="preserve">’</w:t>
      </w:r>
      <w:r>
        <w:rPr>
          <w:color w:val="black"/>
        </w:rPr>
        <w:t xml:space="preserve">s first application was accepted and awarded with ISS funds of US$ 704,600 in 2001 in two equal allotments over a 2</w:t>
      </w:r>
      <w:r>
        <w:rPr>
          <w:color w:val="black"/>
        </w:rPr>
        <w:t xml:space="preserve">-</w:t>
      </w:r>
      <w:r>
        <w:rPr>
          <w:color w:val="black"/>
        </w:rPr>
        <w:t xml:space="preserve">year period</w:t>
      </w:r>
      <w:r>
        <w:rPr>
          <w:color w:val="black"/>
        </w:rPr>
        <w:t xml:space="preserve">. </w:t>
      </w:r>
      <w:r>
        <w:rPr>
          <w:color w:val="black"/>
        </w:rPr>
        <w:t xml:space="preserve">Since then, Nepal has been benefiting from Gavi</w:t>
      </w:r>
      <w:r>
        <w:rPr>
          <w:color w:val="black"/>
        </w:rPr>
        <w:t xml:space="preserve">’</w:t>
      </w:r>
      <w:r>
        <w:rPr>
          <w:color w:val="black"/>
        </w:rPr>
        <w:t xml:space="preserve">s support for new vaccine introductions and immunization campaigns</w:t>
      </w:r>
      <w:r>
        <w:rPr>
          <w:color w:val="black"/>
        </w:rPr>
        <w:t xml:space="preserve">. </w:t>
      </w:r>
      <w:r>
        <w:rPr>
          <w:color w:val="black"/>
        </w:rPr>
        <w:t xml:space="preserve">The targeted country assistance plan for 2021 of GAVI shows that Nepal will be receiving a sum of US $ 627,837 during that period</w:t>
      </w:r>
      <w:r>
        <w:rPr>
          <w:color w:val="black"/>
        </w:rPr>
        <w:t xml:space="preserve">. </w:t>
      </w:r>
    </w:p>
    <w:p>
      <w:pPr>
        <w:jc w:val="both"/>
      </w:pPr>
      <w:r>
        <w:rPr>
          <w:color w:val="black"/>
        </w:rPr>
        <w:t xml:space="preserve">Gavi, in collaboration with UNICEF and WHO, is supporting to national communication and social mobilization strategy for routine immunization program and providing TA to use geospatial data and for new vaccine introduction as well strengthening new vaccine introduction and routine immunization at national and sub</w:t>
      </w:r>
      <w:r>
        <w:rPr>
          <w:color w:val="black"/>
        </w:rPr>
        <w:t xml:space="preserve">-</w:t>
      </w:r>
      <w:r>
        <w:rPr>
          <w:color w:val="black"/>
        </w:rPr>
        <w:t xml:space="preserve">national levels</w:t>
      </w:r>
      <w:r>
        <w:rPr>
          <w:color w:val="black"/>
        </w:rPr>
        <w:t xml:space="preserve">.</w:t>
      </w:r>
    </w:p>
    <w:p>
      <w:pPr>
        <w:jc w:val="both"/>
      </w:pPr>
      <w:r>
        <w:rPr>
          <w:color w:val="black"/>
        </w:rPr>
        <w:t xml:space="preserve">Currently, at Patan hospital, Gavi is funding impact studies on two vaccines that protect children against the main causes of deadly pneumonia</w:t>
      </w:r>
      <w:r>
        <w:rPr>
          <w:color w:val="black"/>
        </w:rPr>
        <w:t xml:space="preserve">: </w:t>
      </w:r>
      <w:r>
        <w:rPr>
          <w:color w:val="black"/>
        </w:rPr>
        <w:t xml:space="preserve">Haemophilus influenzae type b </w:t>
      </w:r>
      <w:r>
        <w:rPr>
          <w:color w:val="black"/>
        </w:rPr>
        <w:t xml:space="preserve">(</w:t>
      </w:r>
      <w:r>
        <w:rPr>
          <w:color w:val="black"/>
        </w:rPr>
        <w:t xml:space="preserve">Hib</w:t>
      </w:r>
      <w:r>
        <w:rPr>
          <w:color w:val="black"/>
        </w:rPr>
        <w:t xml:space="preserve">) </w:t>
      </w:r>
      <w:r>
        <w:rPr>
          <w:color w:val="black"/>
        </w:rPr>
        <w:t xml:space="preserve">and pneumococcal disease</w:t>
      </w:r>
      <w:r>
        <w:rPr>
          <w:color w:val="black"/>
        </w:rPr>
        <w:t xml:space="preserve">. </w:t>
      </w:r>
      <w:r>
        <w:rPr>
          <w:color w:val="black"/>
        </w:rPr>
        <w:t xml:space="preserve">Three doctors</w:t>
      </w:r>
      <w:r>
        <w:rPr>
          <w:color w:val="black"/>
        </w:rPr>
        <w:t xml:space="preserve">— </w:t>
      </w:r>
      <w:r>
        <w:rPr>
          <w:color w:val="black"/>
        </w:rPr>
        <w:t xml:space="preserve">Dr Andrew J Pollard, Professor of Pediatric Infection and Immunity, University of Oxford; Professor Shrijana Shrestha, Dean of the Academy of Health Science at Patan hospital; and Dr Imran Ansari, Chief Pediatrician of Patan Hospital are leading these studies</w:t>
      </w:r>
      <w:r>
        <w:rPr>
          <w:color w:val="black"/>
        </w:rPr>
        <w:t xml:space="preserve">.</w:t>
      </w:r>
    </w:p>
    <w:p>
      <w:pPr/>
      <w:r>
        <w:rPr/>
        <w:t xml:space="preserve"> </w:t>
      </w:r>
    </w:p>
    <w:p>
      <w:pPr/>
      <w:r>
        <w:rPr>
          <w:color w:val="2596be"/>
          <w:b w:val="1"/>
          <w:bCs w:val="1"/>
        </w:rPr>
        <w:t xml:space="preserve">Disbursement during FYs 2016/17 to 2020/21 (in US$)</w:t>
      </w:r>
    </w:p>
    <w:p>
      <w:pPr/>
      <w:r>
        <w:rPr>
          <w:color w:val="black"/>
        </w:rPr>
        <w:t xml:space="preserve">Over the last five</w:t>
      </w:r>
      <w:r>
        <w:rPr>
          <w:color w:val="black"/>
        </w:rPr>
        <w:t xml:space="preserve">-</w:t>
      </w:r>
      <w:r>
        <w:rPr>
          <w:color w:val="black"/>
        </w:rPr>
        <w:t xml:space="preserve">year period beginning from FY 2016</w:t>
      </w:r>
      <w:r>
        <w:rPr>
          <w:color w:val="black"/>
        </w:rPr>
        <w:t xml:space="preserve">/</w:t>
      </w:r>
      <w:r>
        <w:rPr>
          <w:color w:val="black"/>
        </w:rPr>
        <w:t xml:space="preserve">17 to 2020</w:t>
      </w:r>
      <w:r>
        <w:rPr>
          <w:color w:val="black"/>
        </w:rPr>
        <w:t xml:space="preserve">/</w:t>
      </w:r>
      <w:r>
        <w:rPr>
          <w:color w:val="black"/>
        </w:rPr>
        <w:t xml:space="preserve">21, GAVI has disbursed a sum of US$ 22</w:t>
      </w:r>
      <w:r>
        <w:rPr>
          <w:color w:val="black"/>
        </w:rPr>
        <w:t xml:space="preserve">.</w:t>
      </w:r>
      <w:r>
        <w:rPr>
          <w:color w:val="black"/>
        </w:rPr>
        <w:t xml:space="preserve">4 million of ODA was to Nepal</w:t>
      </w:r>
      <w:r>
        <w:rPr>
          <w:color w:val="black"/>
        </w:rPr>
        <w:t xml:space="preserve">. </w:t>
      </w:r>
      <w:r>
        <w:rPr>
          <w:color w:val="black"/>
        </w:rPr>
        <w:t xml:space="preserve">The highest volume of annual disbursement from GAVI was US $ 11</w:t>
      </w:r>
      <w:r>
        <w:rPr>
          <w:color w:val="black"/>
        </w:rPr>
        <w:t xml:space="preserve">.</w:t>
      </w:r>
      <w:r>
        <w:rPr>
          <w:color w:val="black"/>
        </w:rPr>
        <w:t xml:space="preserve">7 million in fiscal year 2019</w:t>
      </w:r>
      <w:r>
        <w:rPr>
          <w:color w:val="black"/>
        </w:rPr>
        <w:t xml:space="preserve">/</w:t>
      </w:r>
      <w:r>
        <w:rPr>
          <w:color w:val="black"/>
        </w:rPr>
        <w:t xml:space="preserve">20</w:t>
      </w:r>
      <w:r>
        <w:rPr>
          <w:color w:val="black"/>
        </w:rPr>
        <w:t xml:space="preserve">. </w:t>
      </w:r>
      <w:r>
        <w:rPr>
          <w:color w:val="black"/>
        </w:rPr>
        <w:t xml:space="preserve">Likewise, the lowest volume of ODA disbursement was US $ 0</w:t>
      </w:r>
      <w:r>
        <w:rPr>
          <w:color w:val="black"/>
        </w:rPr>
        <w:t xml:space="preserve">.</w:t>
      </w:r>
      <w:r>
        <w:rPr>
          <w:color w:val="black"/>
        </w:rPr>
        <w:t xml:space="preserve">02 million in fiscal year 2018</w:t>
      </w:r>
      <w:r>
        <w:rPr>
          <w:color w:val="black"/>
        </w:rPr>
        <w:t xml:space="preserve">/</w:t>
      </w:r>
      <w:r>
        <w:rPr>
          <w:color w:val="black"/>
        </w:rPr>
        <w:t xml:space="preserve">19</w:t>
      </w:r>
      <w:r>
        <w:rPr>
          <w:color w:val="black"/>
        </w:rPr>
        <w:t xml:space="preserve">. </w:t>
      </w:r>
      <w:r>
        <w:rPr>
          <w:color w:val="black"/>
        </w:rPr>
        <w:t xml:space="preserve">The average annual disbursement over the period stands at US $ 4</w:t>
      </w:r>
      <w:r>
        <w:rPr>
          <w:color w:val="black"/>
        </w:rPr>
        <w:t xml:space="preserve">.</w:t>
      </w:r>
      <w:r>
        <w:rPr>
          <w:color w:val="black"/>
        </w:rPr>
        <w:t xml:space="preserve">4 million</w:t>
      </w:r>
      <w:r>
        <w:rPr>
          <w:color w:val="black"/>
        </w:rPr>
        <w:t xml:space="preserve">.</w:t>
      </w:r>
    </w:p>
    <w:p>
      <w:pPr>
        <w:jc w:val="both"/>
      </w:pPr>
      <w:r>
        <w:rPr>
          <w:color w:val="black"/>
        </w:rPr>
        <w:t xml:space="preserve">During the last five</w:t>
      </w:r>
      <w:r>
        <w:rPr>
          <w:color w:val="black"/>
        </w:rPr>
        <w:t xml:space="preserve">-</w:t>
      </w:r>
      <w:r>
        <w:rPr>
          <w:color w:val="black"/>
        </w:rPr>
        <w:t xml:space="preserve">year period GAVI has agreed to provide the support of US $ 22</w:t>
      </w:r>
      <w:r>
        <w:rPr>
          <w:color w:val="black"/>
        </w:rPr>
        <w:t xml:space="preserve">.</w:t>
      </w:r>
      <w:r>
        <w:rPr>
          <w:color w:val="black"/>
        </w:rPr>
        <w:t xml:space="preserve">4 million through separate agreements</w:t>
      </w:r>
      <w:r>
        <w:rPr>
          <w:color w:val="black"/>
        </w:rPr>
        <w:t xml:space="preserve">. </w:t>
      </w:r>
      <w:r>
        <w:rPr>
          <w:color w:val="black"/>
        </w:rPr>
        <w:t xml:space="preserve">The trend of agreement and disbursement shows a direct relationship between the agreement amount and the disbursement</w:t>
      </w:r>
      <w:r>
        <w:rPr>
          <w:color w:val="black"/>
        </w:rPr>
        <w:t xml:space="preserve">. </w:t>
      </w:r>
    </w:p>
    <w:tbl>
      <w:tblGrid>
        <w:gridCol w:w="3120" w:type="dxa"/>
        <w:gridCol w:w="3120" w:type="dxa"/>
        <w:gridCol w:w="3120" w:type="dxa"/>
      </w:tblGrid>
      <w:tblPr>
        <w:tblW w:w="0" w:type="auto"/>
        <w:tblCellSpacing w:w="0" w:type="dxa"/>
        <w:tblLayout w:type="autofit"/>
        <w:bidiVisual w:val="0"/>
      </w:tblPr>
      <w:tr>
        <w:trPr/>
        <w:tc>
          <w:tcPr>
            <w:tcW w:w="3120"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3120" w:type="dxa"/>
            <w:vAlign w:val="top"/>
            <w:tcBorders>
              <w:top w:val="single" w:sz="7" w:color="solid"/>
              <w:right w:val="single" w:sz="7" w:color="solid"/>
              <w:bottom w:val="single" w:sz="7" w:color="solid"/>
            </w:tcBorders>
          </w:tcPr>
          <w:p>
            <w:pPr/>
            <w:r>
              <w:rPr>
                <w:b w:val="1"/>
                <w:bCs w:val="1"/>
              </w:rPr>
              <w:t xml:space="preserve">Agreement Amount</w:t>
            </w:r>
          </w:p>
        </w:tc>
        <w:tc>
          <w:tcPr>
            <w:tcW w:w="3120" w:type="dxa"/>
            <w:vAlign w:val="top"/>
            <w:tcBorders>
              <w:top w:val="single" w:sz="7" w:color="solid"/>
              <w:right w:val="single" w:sz="7" w:color="solid"/>
              <w:bottom w:val="single" w:sz="7" w:color="solid"/>
            </w:tcBorders>
          </w:tcPr>
          <w:p>
            <w:pPr/>
            <w:r>
              <w:rPr>
                <w:b w:val="1"/>
                <w:bCs w:val="1"/>
              </w:rPr>
              <w:t xml:space="preserve">Disbursement</w:t>
            </w:r>
          </w:p>
        </w:tc>
      </w:tr>
      <w:tr>
        <w:trPr/>
        <w:tc>
          <w:tcPr>
            <w:tcW w:w="3120"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3120" w:type="dxa"/>
            <w:vAlign w:val="top"/>
            <w:tcBorders>
              <w:right w:val="single" w:sz="7" w:color="solid"/>
              <w:bottom w:val="single" w:sz="7" w:color="solid"/>
            </w:tcBorders>
          </w:tcPr>
          <w:p>
            <w:pPr>
              <w:jc w:val="end"/>
            </w:pPr>
            <w:r>
              <w:rPr/>
              <w:t xml:space="preserve"> 244,614</w:t>
            </w:r>
          </w:p>
        </w:tc>
        <w:tc>
          <w:tcPr>
            <w:tcW w:w="3120" w:type="dxa"/>
            <w:vAlign w:val="top"/>
            <w:tcBorders>
              <w:right w:val="single" w:sz="7" w:color="solid"/>
              <w:bottom w:val="single" w:sz="7" w:color="solid"/>
            </w:tcBorders>
          </w:tcPr>
          <w:p>
            <w:pPr>
              <w:jc w:val="end"/>
            </w:pPr>
            <w:r>
              <w:rPr/>
              <w:t xml:space="preserve"> 244,614</w:t>
            </w:r>
          </w:p>
        </w:tc>
      </w:tr>
      <w:tr>
        <w:trPr/>
        <w:tc>
          <w:tcPr>
            <w:tcW w:w="3120"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3120" w:type="dxa"/>
            <w:vAlign w:val="top"/>
            <w:tcBorders>
              <w:right w:val="single" w:sz="7" w:color="solid"/>
              <w:bottom w:val="single" w:sz="7" w:color="solid"/>
            </w:tcBorders>
          </w:tcPr>
          <w:p>
            <w:pPr>
              <w:jc w:val="end"/>
            </w:pPr>
            <w:r>
              <w:rPr/>
              <w:t xml:space="preserve"> 1,173,541</w:t>
            </w:r>
          </w:p>
        </w:tc>
        <w:tc>
          <w:tcPr>
            <w:tcW w:w="3120" w:type="dxa"/>
            <w:vAlign w:val="top"/>
            <w:tcBorders>
              <w:right w:val="single" w:sz="7" w:color="solid"/>
              <w:bottom w:val="single" w:sz="7" w:color="solid"/>
            </w:tcBorders>
          </w:tcPr>
          <w:p>
            <w:pPr>
              <w:jc w:val="end"/>
            </w:pPr>
            <w:r>
              <w:rPr/>
              <w:t xml:space="preserve"> 1,173,541</w:t>
            </w:r>
          </w:p>
        </w:tc>
      </w:tr>
      <w:tr>
        <w:trPr/>
        <w:tc>
          <w:tcPr>
            <w:tcW w:w="3120"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3120" w:type="dxa"/>
            <w:vAlign w:val="top"/>
            <w:tcBorders>
              <w:right w:val="single" w:sz="7" w:color="solid"/>
              <w:bottom w:val="single" w:sz="7" w:color="solid"/>
            </w:tcBorders>
          </w:tcPr>
          <w:p>
            <w:pPr>
              <w:jc w:val="end"/>
            </w:pPr>
            <w:r>
              <w:rPr/>
              <w:t xml:space="preserve"> 22,783</w:t>
            </w:r>
          </w:p>
        </w:tc>
        <w:tc>
          <w:tcPr>
            <w:tcW w:w="3120" w:type="dxa"/>
            <w:vAlign w:val="top"/>
            <w:tcBorders>
              <w:right w:val="single" w:sz="7" w:color="solid"/>
              <w:bottom w:val="single" w:sz="7" w:color="solid"/>
            </w:tcBorders>
          </w:tcPr>
          <w:p>
            <w:pPr>
              <w:jc w:val="end"/>
            </w:pPr>
            <w:r>
              <w:rPr/>
              <w:t xml:space="preserve"> 22,783</w:t>
            </w:r>
          </w:p>
        </w:tc>
      </w:tr>
      <w:tr>
        <w:trPr/>
        <w:tc>
          <w:tcPr>
            <w:tcW w:w="3120"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3120" w:type="dxa"/>
            <w:vAlign w:val="top"/>
            <w:tcBorders>
              <w:right w:val="single" w:sz="7" w:color="solid"/>
              <w:bottom w:val="single" w:sz="7" w:color="solid"/>
            </w:tcBorders>
          </w:tcPr>
          <w:p>
            <w:pPr>
              <w:jc w:val="end"/>
            </w:pPr>
            <w:r>
              <w:rPr/>
              <w:t xml:space="preserve"> 11,693,153</w:t>
            </w:r>
          </w:p>
        </w:tc>
        <w:tc>
          <w:tcPr>
            <w:tcW w:w="3120" w:type="dxa"/>
            <w:vAlign w:val="top"/>
            <w:tcBorders>
              <w:right w:val="single" w:sz="7" w:color="solid"/>
              <w:bottom w:val="single" w:sz="7" w:color="solid"/>
            </w:tcBorders>
          </w:tcPr>
          <w:p>
            <w:pPr>
              <w:jc w:val="end"/>
            </w:pPr>
            <w:r>
              <w:rPr/>
              <w:t xml:space="preserve"> 11,693,153</w:t>
            </w:r>
          </w:p>
        </w:tc>
      </w:tr>
      <w:tr>
        <w:trPr/>
        <w:tc>
          <w:tcPr>
            <w:tcW w:w="3120"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3120" w:type="dxa"/>
            <w:vAlign w:val="top"/>
            <w:tcBorders>
              <w:right w:val="single" w:sz="7" w:color="solid"/>
              <w:bottom w:val="single" w:sz="7" w:color="solid"/>
            </w:tcBorders>
          </w:tcPr>
          <w:p>
            <w:pPr>
              <w:jc w:val="end"/>
            </w:pPr>
            <w:r>
              <w:rPr/>
              <w:t xml:space="preserve"> 9,329,736</w:t>
            </w:r>
          </w:p>
        </w:tc>
        <w:tc>
          <w:tcPr>
            <w:tcW w:w="3120" w:type="dxa"/>
            <w:vAlign w:val="top"/>
            <w:tcBorders>
              <w:right w:val="single" w:sz="7" w:color="solid"/>
              <w:bottom w:val="single" w:sz="7" w:color="solid"/>
            </w:tcBorders>
          </w:tcPr>
          <w:p>
            <w:pPr>
              <w:jc w:val="end"/>
            </w:pPr>
            <w:r>
              <w:rPr/>
              <w:t xml:space="preserve"> 9,329,736</w:t>
            </w:r>
          </w:p>
        </w:tc>
      </w:tr>
    </w:tbl>
    <w:p>
      <w:pPr>
        <w:jc w:val="end"/>
      </w:pPr>
      <w:r>
        <w:rPr>
          <w:color w:val="000000"/>
          <w:i w:val="1"/>
          <w:iCs w:val="1"/>
        </w:rPr>
        <w:t xml:space="preserve">Source</w:t>
      </w:r>
      <w:r>
        <w:rPr>
          <w:color w:val="000000"/>
          <w:i w:val="1"/>
          <w:iCs w:val="1"/>
        </w:rPr>
        <w:t xml:space="preserve">:</w:t>
      </w:r>
      <w:r>
        <w:rPr>
          <w:i w:val="1"/>
          <w:iCs w:val="1"/>
        </w:rPr>
        <w:t xml:space="preserve">Aid Management Information System</w:t>
      </w:r>
    </w:p>
    <w:p>
      <w:pPr/>
      <w:r>
        <w:rPr>
          <w:b w:val="1"/>
          <w:bCs w:val="1"/>
        </w:rPr>
        <w:t xml:space="preserve"> </w:t>
      </w:r>
    </w:p>
    <w:p>
      <w:pPr>
        <w:jc w:val="both"/>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Country Partnership Strategy</w:t>
      </w:r>
    </w:p>
    <w:p>
      <w:pPr>
        <w:jc w:val="both"/>
      </w:pPr>
      <w:r>
        <w:rPr>
          <w:color w:val="black"/>
        </w:rPr>
        <w:t xml:space="preserve">Gavi</w:t>
      </w:r>
      <w:r>
        <w:rPr>
          <w:color w:val="black"/>
        </w:rPr>
        <w:t xml:space="preserve">’</w:t>
      </w:r>
      <w:r>
        <w:rPr>
          <w:color w:val="black"/>
        </w:rPr>
        <w:t xml:space="preserve">s development cooperation strategy with Nepal is based on its portfolio of country support </w:t>
      </w:r>
      <w:r>
        <w:rPr>
          <w:color w:val="black"/>
        </w:rPr>
        <w:t xml:space="preserve">- </w:t>
      </w:r>
      <w:r>
        <w:rPr>
          <w:color w:val="black"/>
        </w:rPr>
        <w:t xml:space="preserve">health system strengthening </w:t>
      </w:r>
      <w:r>
        <w:rPr>
          <w:color w:val="black"/>
        </w:rPr>
        <w:t xml:space="preserve">(</w:t>
      </w:r>
      <w:r>
        <w:rPr>
          <w:color w:val="black"/>
        </w:rPr>
        <w:t xml:space="preserve">HSS</w:t>
      </w:r>
      <w:r>
        <w:rPr>
          <w:color w:val="black"/>
        </w:rPr>
        <w:t xml:space="preserve">) </w:t>
      </w:r>
      <w:r>
        <w:rPr>
          <w:color w:val="black"/>
        </w:rPr>
        <w:t xml:space="preserve">support; vaccine support; cold chain equipment optimization platform </w:t>
      </w:r>
      <w:r>
        <w:rPr>
          <w:color w:val="black"/>
        </w:rPr>
        <w:t xml:space="preserve">(</w:t>
      </w:r>
      <w:r>
        <w:rPr>
          <w:color w:val="black"/>
        </w:rPr>
        <w:t xml:space="preserve">CCEOP</w:t>
      </w:r>
      <w:r>
        <w:rPr>
          <w:color w:val="black"/>
        </w:rPr>
        <w:t xml:space="preserve">) </w:t>
      </w:r>
      <w:r>
        <w:rPr>
          <w:color w:val="black"/>
        </w:rPr>
        <w:t xml:space="preserve">support; and targeted country assistance </w:t>
      </w:r>
      <w:r>
        <w:rPr>
          <w:color w:val="black"/>
        </w:rPr>
        <w:t xml:space="preserve">(</w:t>
      </w:r>
      <w:r>
        <w:rPr>
          <w:color w:val="black"/>
        </w:rPr>
        <w:t xml:space="preserve">TCA</w:t>
      </w:r>
      <w:r>
        <w:rPr>
          <w:color w:val="black"/>
        </w:rPr>
        <w:t xml:space="preserve">). </w:t>
      </w:r>
      <w:r>
        <w:rPr>
          <w:color w:val="black"/>
        </w:rPr>
        <w:t xml:space="preserve">Gavi</w:t>
      </w:r>
      <w:r>
        <w:rPr>
          <w:color w:val="black"/>
        </w:rPr>
        <w:t xml:space="preserve">’</w:t>
      </w:r>
      <w:r>
        <w:rPr>
          <w:color w:val="black"/>
        </w:rPr>
        <w:t xml:space="preserve">s support aims to assist Nepal in advancing its national immunization plans and improving immunization coverage and equity in a sustainable way</w:t>
      </w:r>
      <w:r>
        <w:rPr>
          <w:color w:val="black"/>
        </w:rPr>
        <w:t xml:space="preserve">.</w:t>
      </w:r>
    </w:p>
    <w:p>
      <w:pPr>
        <w:jc w:val="both"/>
      </w:pPr>
      <w:r>
        <w:rPr>
          <w:color w:val="black"/>
        </w:rPr>
        <w:t xml:space="preserve">Apart from the studies, Gavi is assisting in other vaccine</w:t>
      </w:r>
      <w:r>
        <w:rPr>
          <w:color w:val="black"/>
        </w:rPr>
        <w:t xml:space="preserve">-</w:t>
      </w:r>
      <w:r>
        <w:rPr>
          <w:color w:val="black"/>
        </w:rPr>
        <w:t xml:space="preserve">related programs to strengthen the capacity of integrated health systems of Nepal to deliver immunization</w:t>
      </w:r>
      <w:r>
        <w:rPr>
          <w:color w:val="black"/>
        </w:rPr>
        <w:t xml:space="preserve">. </w:t>
      </w:r>
    </w:p>
    <w:p>
      <w:pPr>
        <w:jc w:val="both"/>
      </w:pPr>
      <w:r>
        <w:rPr>
          <w:color w:val="2596be"/>
          <w:b w:val="1"/>
          <w:bCs w:val="1"/>
        </w:rPr>
        <w:t xml:space="preserve">Updated</w:t>
      </w:r>
    </w:p>
    <w:p>
      <w:pPr/>
      <w:r>
        <w:rPr/>
        <w:t xml:space="preserve">Social Sector/ IECCD</w:t>
      </w:r>
      <w:br/>
      <w:r>
        <w:rPr/>
        <w:t xml:space="preserve">January 2022</w:t>
      </w:r>
    </w:p>
    <w:p>
      <w:pPr/>
      <w:r>
        <w:rPr>
          <w:color w:val="2596be"/>
          <w:b w:val="1"/>
          <w:bCs w:val="1"/>
        </w:rPr>
        <w:t xml:space="preserve">References</w:t>
      </w:r>
    </w:p>
    <w:p>
      <w:pPr>
        <w:jc w:val="both"/>
      </w:pPr>
      <w:r>
        <w:rPr>
          <w:color w:val="787328"/>
          <w:i w:val="1"/>
          <w:iCs w:val="1"/>
        </w:rPr>
        <w:t xml:space="preserve">-</w:t>
      </w:r>
      <w:r>
        <w:rPr>
          <w:i w:val="1"/>
          <w:iCs w:val="1"/>
        </w:rPr>
        <w:t xml:space="preserve">   </w:t>
      </w:r>
      <w:r>
        <w:rPr>
          <w:i w:val="1"/>
          <w:iCs w:val="1"/>
        </w:rPr>
        <w:t xml:space="preserve">GAVI, the Vaccine Alliance</w:t>
      </w:r>
      <w:r>
        <w:rPr>
          <w:i w:val="1"/>
          <w:iCs w:val="1"/>
        </w:rPr>
        <w:t xml:space="preserve">: </w:t>
      </w:r>
      <w:hyperlink r:id="rId8" w:history="1">
        <w:r>
          <w:rPr/>
          <w:t xml:space="preserve">http://www.gavi.org/</w:t>
        </w:r>
      </w:hyperlink>
    </w:p>
    <w:p>
      <w:pPr>
        <w:jc w:val="both"/>
      </w:pPr>
      <w:r>
        <w:rPr>
          <w:i w:val="1"/>
          <w:iCs w:val="1"/>
        </w:rPr>
        <w:t xml:space="preserve">-</w:t>
      </w:r>
      <w:r>
        <w:rPr>
          <w:i w:val="1"/>
          <w:iCs w:val="1"/>
        </w:rPr>
        <w:t xml:space="preserve">   </w:t>
      </w:r>
      <w:r>
        <w:rPr>
          <w:i w:val="1"/>
          <w:iCs w:val="1"/>
        </w:rPr>
        <w:t xml:space="preserve"> </w:t>
      </w:r>
      <w:r>
        <w:rPr>
          <w:color w:val="black"/>
          <w:i w:val="1"/>
          <w:iCs w:val="1"/>
          <w:shd w:val="clear" w:fill="white"/>
        </w:rPr>
        <w:t xml:space="preserve">https://</w:t>
      </w:r>
      <w:r>
        <w:rPr>
          <w:color w:val="black"/>
          <w:i w:val="1"/>
          <w:iCs w:val="1"/>
          <w:shd w:val="clear" w:fill="white"/>
        </w:rPr>
        <w:t xml:space="preserve">www</w:t>
      </w:r>
      <w:r>
        <w:rPr>
          <w:color w:val="black"/>
          <w:i w:val="1"/>
          <w:iCs w:val="1"/>
          <w:shd w:val="clear" w:fill="white"/>
        </w:rPr>
        <w:t xml:space="preserve">.</w:t>
      </w:r>
      <w:r>
        <w:rPr>
          <w:color w:val="black"/>
          <w:i w:val="1"/>
          <w:iCs w:val="1"/>
          <w:shd w:val="clear" w:fill="white"/>
        </w:rPr>
        <w:t xml:space="preserve">gavi</w:t>
      </w:r>
      <w:r>
        <w:rPr>
          <w:color w:val="black"/>
          <w:i w:val="1"/>
          <w:iCs w:val="1"/>
          <w:shd w:val="clear" w:fill="white"/>
        </w:rPr>
        <w:t xml:space="preserve">.</w:t>
      </w:r>
      <w:r>
        <w:rPr>
          <w:color w:val="black"/>
          <w:i w:val="1"/>
          <w:iCs w:val="1"/>
          <w:shd w:val="clear" w:fill="white"/>
        </w:rPr>
        <w:t xml:space="preserve">org</w:t>
      </w:r>
      <w:r>
        <w:rPr>
          <w:color w:val="black"/>
          <w:i w:val="1"/>
          <w:iCs w:val="1"/>
          <w:shd w:val="clear" w:fill="white"/>
        </w:rPr>
        <w:t xml:space="preserve">/</w:t>
      </w:r>
      <w:r>
        <w:rPr>
          <w:color w:val="black"/>
          <w:i w:val="1"/>
          <w:iCs w:val="1"/>
          <w:shd w:val="clear" w:fill="white"/>
        </w:rPr>
        <w:t xml:space="preserve">programmes</w:t>
      </w:r>
      <w:r>
        <w:rPr>
          <w:color w:val="black"/>
          <w:i w:val="1"/>
          <w:iCs w:val="1"/>
          <w:shd w:val="clear" w:fill="white"/>
        </w:rPr>
        <w:t xml:space="preserve">-</w:t>
      </w:r>
      <w:r>
        <w:rPr>
          <w:color w:val="black"/>
          <w:i w:val="1"/>
          <w:iCs w:val="1"/>
          <w:shd w:val="clear" w:fill="white"/>
        </w:rPr>
        <w:t xml:space="preserve">impact</w:t>
      </w:r>
      <w:r>
        <w:rPr>
          <w:color w:val="black"/>
          <w:i w:val="1"/>
          <w:iCs w:val="1"/>
          <w:shd w:val="clear" w:fill="white"/>
        </w:rPr>
        <w:t xml:space="preserve">/</w:t>
      </w:r>
      <w:r>
        <w:rPr>
          <w:color w:val="black"/>
          <w:i w:val="1"/>
          <w:iCs w:val="1"/>
          <w:shd w:val="clear" w:fill="white"/>
        </w:rPr>
        <w:t xml:space="preserve">country</w:t>
      </w:r>
      <w:r>
        <w:rPr>
          <w:color w:val="black"/>
          <w:i w:val="1"/>
          <w:iCs w:val="1"/>
          <w:shd w:val="clear" w:fill="white"/>
        </w:rPr>
        <w:t xml:space="preserve">-</w:t>
      </w:r>
      <w:r>
        <w:rPr>
          <w:color w:val="black"/>
          <w:i w:val="1"/>
          <w:iCs w:val="1"/>
          <w:shd w:val="clear" w:fill="white"/>
        </w:rPr>
        <w:t xml:space="preserve">hub</w:t>
      </w:r>
      <w:r>
        <w:rPr>
          <w:color w:val="black"/>
          <w:i w:val="1"/>
          <w:iCs w:val="1"/>
          <w:shd w:val="clear" w:fill="white"/>
        </w:rPr>
        <w:t xml:space="preserve">/</w:t>
      </w:r>
      <w:r>
        <w:rPr>
          <w:color w:val="black"/>
          <w:i w:val="1"/>
          <w:iCs w:val="1"/>
          <w:shd w:val="clear" w:fill="white"/>
        </w:rPr>
        <w:t xml:space="preserve">south</w:t>
      </w:r>
      <w:r>
        <w:rPr>
          <w:color w:val="black"/>
          <w:i w:val="1"/>
          <w:iCs w:val="1"/>
          <w:shd w:val="clear" w:fill="white"/>
        </w:rPr>
        <w:t xml:space="preserve">-</w:t>
      </w:r>
      <w:r>
        <w:rPr>
          <w:color w:val="black"/>
          <w:i w:val="1"/>
          <w:iCs w:val="1"/>
          <w:shd w:val="clear" w:fill="white"/>
        </w:rPr>
        <w:t xml:space="preserve">east</w:t>
      </w:r>
      <w:r>
        <w:rPr>
          <w:color w:val="black"/>
          <w:i w:val="1"/>
          <w:iCs w:val="1"/>
          <w:shd w:val="clear" w:fill="white"/>
        </w:rPr>
        <w:t xml:space="preserve">-</w:t>
      </w:r>
      <w:r>
        <w:rPr>
          <w:color w:val="black"/>
          <w:i w:val="1"/>
          <w:iCs w:val="1"/>
          <w:shd w:val="clear" w:fill="white"/>
        </w:rPr>
        <w:t xml:space="preserve">asia</w:t>
      </w:r>
      <w:r>
        <w:rPr>
          <w:color w:val="black"/>
          <w:i w:val="1"/>
          <w:iCs w:val="1"/>
          <w:shd w:val="clear" w:fill="white"/>
        </w:rPr>
        <w:t xml:space="preserve">/</w:t>
      </w:r>
      <w:r>
        <w:rPr>
          <w:color w:val="black"/>
          <w:i w:val="1"/>
          <w:iCs w:val="1"/>
          <w:shd w:val="clear" w:fill="white"/>
        </w:rPr>
        <w:t xml:space="preserve">nepal</w:t>
      </w:r>
      <w:br/>
      <w:r>
        <w:rPr/>
        <w:t xml:space="preserve">(retrieved in December 3, 2021)</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gavi.org/"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2024-11-21T12:41:37+00:00</dcterms:created>
  <dcterms:modified xsi:type="dcterms:W3CDTF">2024-11-21T12:41:37+00:00</dcterms:modified>
</cp:coreProperties>
</file>

<file path=docProps/custom.xml><?xml version="1.0" encoding="utf-8"?>
<Properties xmlns="http://schemas.openxmlformats.org/officeDocument/2006/custom-properties" xmlns:vt="http://schemas.openxmlformats.org/officeDocument/2006/docPropsVTypes"/>
</file>