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25000" w:type="dxa"/>
      </w:tblGrid>
      <w:tr>
        <w:trPr/>
        <w:tc>
          <w:tcPr>
            <w:tcW w:w="5000" w:type="dxa"/>
          </w:tcPr>
          <w:p>
            <w:pPr>
              <w:jc w:val="left"/>
            </w:pPr>
            <w:r>
              <w:pict>
                <v:shape type="#_x0000_t75" stroked="f" style="width:227.52pt; height:126.7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5000" w:type="dxa"/>
          </w:tcPr>
          <w:p>
            <w:pPr>
              <w:ind w:left="540" w:right="120"/>
              <w:spacing w:before="400" w:after="400"/>
            </w:pPr>
            <w:r>
              <w:rPr>
                <w:color w:val="green"/>
                <w:sz w:val="44"/>
                <w:szCs w:val="44"/>
                <w:b w:val="1"/>
                <w:bCs w:val="1"/>
              </w:rPr>
              <w:t xml:space="preserve">Kuwait</w:t>
            </w:r>
          </w:p>
        </w:tc>
      </w:tr>
    </w:tbl>
    <w:p>
      <w:pPr/>
      <w:r>
        <w:rPr>
          <w:b w:val="1"/>
          <w:bCs w:val="1"/>
        </w:rPr>
        <w:t xml:space="preserve">KFAED is the first institution in the Middle East that took an active role in the international development efforts</w:t>
      </w:r>
      <w:r>
        <w:rPr>
          <w:b w:val="1"/>
          <w:bCs w:val="1"/>
        </w:rPr>
        <w:t xml:space="preserve">. </w:t>
      </w:r>
      <w:r>
        <w:rPr>
          <w:b w:val="1"/>
          <w:bCs w:val="1"/>
        </w:rPr>
        <w:t xml:space="preserve">Kuwait is one of the few countries in the world whose aid budget exceeds the UN target of 0</w:t>
      </w:r>
      <w:r>
        <w:rPr>
          <w:b w:val="1"/>
          <w:bCs w:val="1"/>
        </w:rPr>
        <w:t xml:space="preserve">.</w:t>
      </w:r>
      <w:r>
        <w:rPr>
          <w:b w:val="1"/>
          <w:bCs w:val="1"/>
        </w:rPr>
        <w:t xml:space="preserve">7</w:t>
      </w:r>
      <w:r>
        <w:rPr>
          <w:b w:val="1"/>
          <w:bCs w:val="1"/>
        </w:rPr>
        <w:t xml:space="preserve">% </w:t>
      </w:r>
      <w:r>
        <w:rPr>
          <w:b w:val="1"/>
          <w:bCs w:val="1"/>
        </w:rPr>
        <w:t xml:space="preserve">of GNI</w:t>
      </w:r>
      <w:r>
        <w:rPr>
          <w:b w:val="1"/>
          <w:bCs w:val="1"/>
        </w:rPr>
        <w:t xml:space="preserve">. </w:t>
      </w:r>
    </w:p>
    <w:p>
      <w:pPr/>
      <w:r>
        <w:rPr>
          <w:color w:val="2596be"/>
          <w:b w:val="1"/>
          <w:bCs w:val="1"/>
        </w:rPr>
        <w:t xml:space="preserve">Bilateral Relations</w:t>
      </w:r>
    </w:p>
    <w:p>
      <w:pPr>
        <w:jc w:val="both"/>
      </w:pPr>
      <w:r>
        <w:rPr>
          <w:color w:val="black"/>
        </w:rPr>
        <w:t xml:space="preserve">Nepal and Kuwait established diplomatic relations on 25 February 1972</w:t>
      </w:r>
      <w:r>
        <w:rPr>
          <w:color w:val="black"/>
        </w:rPr>
        <w:t xml:space="preserve">. </w:t>
      </w:r>
      <w:r>
        <w:rPr>
          <w:color w:val="black"/>
        </w:rPr>
        <w:t xml:space="preserve">Nepal established its Embassy in Kuwait on 21 March 2010</w:t>
      </w:r>
      <w:r>
        <w:rPr>
          <w:color w:val="black"/>
        </w:rPr>
        <w:t xml:space="preserve">. </w:t>
      </w:r>
      <w:r>
        <w:rPr>
          <w:color w:val="black"/>
        </w:rPr>
        <w:t xml:space="preserve">The Embassy of Nepal in Kuwait facilitates aid and other matters with KFAED</w:t>
      </w:r>
      <w:r>
        <w:rPr>
          <w:color w:val="black"/>
        </w:rPr>
        <w:t xml:space="preserve">. </w:t>
      </w:r>
      <w:r>
        <w:rPr>
          <w:color w:val="black"/>
        </w:rPr>
        <w:t xml:space="preserve">There is no Embassy of the State of Kuwait in Nepal</w:t>
      </w:r>
      <w:r>
        <w:rPr>
          <w:color w:val="black"/>
        </w:rPr>
        <w:t xml:space="preserve">. </w:t>
      </w:r>
    </w:p>
    <w:p>
      <w:pPr/>
      <w:r>
        <w:rPr>
          <w:color w:val="2596be"/>
          <w:b w:val="1"/>
          <w:bCs w:val="1"/>
        </w:rPr>
        <w:t xml:space="preserve">Development Cooperation</w:t>
      </w:r>
    </w:p>
    <w:p>
      <w:pPr>
        <w:jc w:val="both"/>
      </w:pPr>
      <w:r>
        <w:rPr>
          <w:color w:val="black"/>
        </w:rPr>
        <w:t xml:space="preserve">Economic cooperation between the two countries started in January 1976 with the signing of a loan agreement amounting US$ 18</w:t>
      </w:r>
      <w:r>
        <w:rPr>
          <w:color w:val="black"/>
        </w:rPr>
        <w:t xml:space="preserve">.</w:t>
      </w:r>
      <w:r>
        <w:rPr>
          <w:color w:val="black"/>
        </w:rPr>
        <w:t xml:space="preserve">5 million for the Kulekhani Hydro</w:t>
      </w:r>
      <w:r>
        <w:rPr>
          <w:color w:val="black"/>
        </w:rPr>
        <w:t xml:space="preserve">-</w:t>
      </w:r>
      <w:r>
        <w:rPr>
          <w:color w:val="black"/>
        </w:rPr>
        <w:t xml:space="preserve">Project</w:t>
      </w:r>
      <w:r>
        <w:rPr>
          <w:color w:val="black"/>
        </w:rPr>
        <w:t xml:space="preserve">. </w:t>
      </w:r>
      <w:r>
        <w:rPr>
          <w:color w:val="black"/>
        </w:rPr>
        <w:t xml:space="preserve">Further, in 1979, Kuwait provided a supplementary loan of US$ 7</w:t>
      </w:r>
      <w:r>
        <w:rPr>
          <w:color w:val="black"/>
        </w:rPr>
        <w:t xml:space="preserve">.</w:t>
      </w:r>
      <w:r>
        <w:rPr>
          <w:color w:val="black"/>
        </w:rPr>
        <w:t xml:space="preserve">4 million to meet the cost overrun of the same project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On 25th January 1985, Kuwait provided KWD 6</w:t>
      </w:r>
      <w:r>
        <w:rPr>
          <w:color w:val="black"/>
        </w:rPr>
        <w:t xml:space="preserve">.</w:t>
      </w:r>
      <w:r>
        <w:rPr>
          <w:color w:val="black"/>
        </w:rPr>
        <w:t xml:space="preserve">0 million </w:t>
      </w:r>
      <w:r>
        <w:rPr>
          <w:color w:val="black"/>
        </w:rPr>
        <w:t xml:space="preserve">(</w:t>
      </w:r>
      <w:r>
        <w:rPr>
          <w:color w:val="black"/>
        </w:rPr>
        <w:t xml:space="preserve">approximately US$ 20 million</w:t>
      </w:r>
      <w:r>
        <w:rPr>
          <w:color w:val="black"/>
        </w:rPr>
        <w:t xml:space="preserve">) </w:t>
      </w:r>
      <w:r>
        <w:rPr>
          <w:color w:val="black"/>
        </w:rPr>
        <w:t xml:space="preserve">to the Marsyangdi Hydro Power Project through a separate loan agreement</w:t>
      </w:r>
      <w:r>
        <w:rPr>
          <w:color w:val="black"/>
        </w:rPr>
        <w:t xml:space="preserve">. </w:t>
      </w:r>
      <w:r>
        <w:rPr>
          <w:color w:val="black"/>
        </w:rPr>
        <w:t xml:space="preserve">Kuwait further provided an additional KWD 2</w:t>
      </w:r>
      <w:r>
        <w:rPr>
          <w:color w:val="black"/>
        </w:rPr>
        <w:t xml:space="preserve">.</w:t>
      </w:r>
      <w:r>
        <w:rPr>
          <w:color w:val="black"/>
        </w:rPr>
        <w:t xml:space="preserve">9 million </w:t>
      </w:r>
      <w:r>
        <w:rPr>
          <w:color w:val="black"/>
        </w:rPr>
        <w:t xml:space="preserve">(</w:t>
      </w:r>
      <w:r>
        <w:rPr>
          <w:color w:val="black"/>
        </w:rPr>
        <w:t xml:space="preserve">around US$ 9</w:t>
      </w:r>
      <w:r>
        <w:rPr>
          <w:color w:val="black"/>
        </w:rPr>
        <w:t xml:space="preserve">.</w:t>
      </w:r>
      <w:r>
        <w:rPr>
          <w:color w:val="black"/>
        </w:rPr>
        <w:t xml:space="preserve">5 million</w:t>
      </w:r>
      <w:r>
        <w:rPr>
          <w:color w:val="black"/>
        </w:rPr>
        <w:t xml:space="preserve">) </w:t>
      </w:r>
      <w:r>
        <w:rPr>
          <w:color w:val="black"/>
        </w:rPr>
        <w:t xml:space="preserve">for works related to the same Project</w:t>
      </w:r>
      <w:r>
        <w:rPr>
          <w:color w:val="black"/>
        </w:rPr>
        <w:t xml:space="preserve">. </w:t>
      </w:r>
    </w:p>
    <w:p>
      <w:pPr>
        <w:jc w:val="both"/>
      </w:pPr>
      <w:r>
        <w:rPr/>
        <w:t xml:space="preserve">A loan agreement of KWD 1.5 million (around US$ 5 million) was concluded on 26 October 1998 for the execution of the Praganna Kulo Irrigation Project in Dang district. In 2013, KFAED agreed to provide loan assistance of US$ 18 million for the Budhiganga Hydropower Project to be developed in Achham District.</w:t>
      </w:r>
    </w:p>
    <w:p>
      <w:pPr/>
      <w:r>
        <w:rPr>
          <w:color w:val="2596be"/>
          <w:b w:val="1"/>
          <w:bCs w:val="1"/>
        </w:rPr>
        <w:t xml:space="preserve">Kuwait’s Major Support to Nepal by Sector</w:t>
      </w:r>
    </w:p>
    <w:p>
      <w:pPr>
        <w:jc w:val="both"/>
      </w:pPr>
      <w:r>
        <w:rPr/>
        <w:t xml:space="preserve">The followings are the major sector of Kuwait’s support in Nepal during the last five year period.</w:t>
      </w:r>
    </w:p>
    <w:p>
      <w:pPr>
        <w:numPr>
          <w:ilvl w:val="0"/>
          <w:numId w:val="2"/>
        </w:numPr>
      </w:pPr>
      <w:r>
        <w:rPr/>
        <w:t xml:space="preserve">Agriculture</w:t>
      </w:r>
    </w:p>
    <w:p>
      <w:pPr>
        <w:numPr>
          <w:ilvl w:val="0"/>
          <w:numId w:val="2"/>
        </w:numPr>
      </w:pPr>
      <w:r>
        <w:rPr/>
        <w:t xml:space="preserve">Irrigation</w:t>
      </w:r>
    </w:p>
    <w:p>
      <w:pPr>
        <w:numPr>
          <w:ilvl w:val="0"/>
          <w:numId w:val="2"/>
        </w:numPr>
      </w:pPr>
      <w:r>
        <w:rPr/>
        <w:t xml:space="preserve">Energy</w:t>
      </w:r>
    </w:p>
    <w:p>
      <w:pPr/>
      <w:r>
        <w:pict>
          <v:shape type="#_x0000_t75" stroked="f" style="width:500pt; height:300pt; margin-left:0pt; margin-top:0pt; mso-position-horizontal:left; mso-position-vertical:top; mso-position-horizontal-relative:margin; mso-position-vertical-relative:line;">
            <w10:wrap type="square"/>
            <v:imagedata r:id="rId8" o:title=""/>
          </v:shape>
        </w:pict>
      </w:r>
    </w:p>
    <w:p>
      <w:pPr/>
      <w:r>
        <w:rPr>
          <w:color w:val="2596be"/>
          <w:b w:val="1"/>
          <w:bCs w:val="1"/>
        </w:rPr>
        <w:t xml:space="preserve">KFAED’s Disbursement during FYs 2016/17 and 2020/21 (in US $)</w:t>
      </w:r>
    </w:p>
    <w:p>
      <w:pPr>
        <w:jc w:val="both"/>
      </w:pPr>
      <w:r>
        <w:rPr/>
        <w:t xml:space="preserve">Over the last five year period beginning from FY 2016</w:t>
      </w:r>
      <w:r>
        <w:rPr>
          <w:b w:val="1"/>
          <w:bCs w:val="1"/>
        </w:rPr>
        <w:t xml:space="preserve">/</w:t>
      </w:r>
      <w:r>
        <w:rPr/>
        <w:t xml:space="preserve">17 to FY 2020</w:t>
      </w:r>
      <w:r>
        <w:rPr>
          <w:b w:val="1"/>
          <w:bCs w:val="1"/>
        </w:rPr>
        <w:t xml:space="preserve">/</w:t>
      </w:r>
      <w:r>
        <w:rPr/>
        <w:t xml:space="preserve">21, KFAED has disbursed a sum of US $ 7</w:t>
      </w:r>
      <w:r>
        <w:rPr>
          <w:b w:val="1"/>
          <w:bCs w:val="1"/>
        </w:rPr>
        <w:t xml:space="preserve">.</w:t>
      </w:r>
      <w:r>
        <w:rPr/>
        <w:t xml:space="preserve">6 million to Nepal</w:t>
      </w:r>
      <w:r>
        <w:rPr>
          <w:b w:val="1"/>
          <w:bCs w:val="1"/>
        </w:rPr>
        <w:t xml:space="preserve">. </w:t>
      </w:r>
      <w:r>
        <w:rPr/>
        <w:t xml:space="preserve">The highest level of disbursement of US $ 3</w:t>
      </w:r>
      <w:r>
        <w:rPr>
          <w:b w:val="1"/>
          <w:bCs w:val="1"/>
        </w:rPr>
        <w:t xml:space="preserve">.</w:t>
      </w:r>
      <w:r>
        <w:rPr/>
        <w:t xml:space="preserve">2 million took place in fiscal year whereas the lowest level of disbursement of US $ 0</w:t>
      </w:r>
      <w:r>
        <w:rPr>
          <w:b w:val="1"/>
          <w:bCs w:val="1"/>
        </w:rPr>
        <w:t xml:space="preserve">.</w:t>
      </w:r>
      <w:r>
        <w:rPr/>
        <w:t xml:space="preserve">26 million in fiscal year 2019</w:t>
      </w:r>
      <w:r>
        <w:rPr>
          <w:b w:val="1"/>
          <w:bCs w:val="1"/>
        </w:rPr>
        <w:t xml:space="preserve">/</w:t>
      </w:r>
      <w:r>
        <w:rPr/>
        <w:t xml:space="preserve">20</w:t>
      </w:r>
      <w:r>
        <w:rPr>
          <w:b w:val="1"/>
          <w:bCs w:val="1"/>
        </w:rPr>
        <w:t xml:space="preserve">. </w:t>
      </w:r>
      <w:r>
        <w:rPr/>
        <w:t xml:space="preserve">The average annual disbursement over the five year period is US $ 1</w:t>
      </w:r>
      <w:r>
        <w:rPr>
          <w:b w:val="1"/>
          <w:bCs w:val="1"/>
        </w:rPr>
        <w:t xml:space="preserve">.</w:t>
      </w:r>
      <w:r>
        <w:rPr/>
        <w:t xml:space="preserve">5 million</w:t>
      </w:r>
      <w:r>
        <w:rPr>
          <w:b w:val="1"/>
          <w:bCs w:val="1"/>
        </w:rPr>
        <w:t xml:space="preserve">. </w:t>
      </w:r>
      <w:r>
        <w:rPr/>
        <w:t xml:space="preserve">Kuwait and Nepal did not have any agreement of bilateral cooperation during the last five year period</w:t>
      </w:r>
      <w:r>
        <w:rPr>
          <w:b w:val="1"/>
          <w:bCs w:val="1"/>
        </w:rPr>
        <w:t xml:space="preserve">.</w:t>
      </w:r>
    </w:p>
    <w:tbl>
      <w:tblGrid>
        <w:gridCol w:w="2925" w:type="dxa"/>
        <w:gridCol w:w="2955" w:type="dxa"/>
        <w:gridCol w:w="2970" w:type="dxa"/>
      </w:tblGrid>
      <w:tblPr>
        <w:tblW w:w="0" w:type="auto"/>
        <w:tblCellSpacing w:w="0" w:type="dxa"/>
        <w:tblLayout w:type="autofit"/>
        <w:bidiVisual w:val="0"/>
      </w:tblPr>
      <w:tr>
        <w:trPr/>
        <w:tc>
          <w:tcPr>
            <w:tcW w:w="2925" w:type="dxa"/>
            <w:vAlign w:val="top"/>
            <w:tcBorders>
              <w:top w:val="single" w:sz="7" w:color="solid"/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Fiscal Year</w:t>
            </w:r>
          </w:p>
        </w:tc>
        <w:tc>
          <w:tcPr>
            <w:tcW w:w="2955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Agreement Amount</w:t>
            </w:r>
          </w:p>
        </w:tc>
        <w:tc>
          <w:tcPr>
            <w:tcW w:w="2970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Disbursement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2016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</w:t>
            </w:r>
          </w:p>
        </w:tc>
        <w:tc>
          <w:tcPr>
            <w:tcW w:w="297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649,148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2017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</w:t>
            </w:r>
          </w:p>
        </w:tc>
        <w:tc>
          <w:tcPr>
            <w:tcW w:w="297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3,274,490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2018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</w:t>
            </w:r>
          </w:p>
        </w:tc>
        <w:tc>
          <w:tcPr>
            <w:tcW w:w="297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2,652,546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2019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</w:t>
            </w:r>
          </w:p>
        </w:tc>
        <w:tc>
          <w:tcPr>
            <w:tcW w:w="297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267,163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2020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</w:t>
            </w:r>
          </w:p>
        </w:tc>
        <w:tc>
          <w:tcPr>
            <w:tcW w:w="297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797,826</w:t>
            </w:r>
          </w:p>
        </w:tc>
      </w:tr>
    </w:tbl>
    <w:p>
      <w:pPr>
        <w:jc w:val="end"/>
      </w:pPr>
      <w:r>
        <w:rPr>
          <w:color w:val="000000"/>
          <w:i w:val="1"/>
          <w:iCs w:val="1"/>
        </w:rPr>
        <w:t xml:space="preserve">Source</w:t>
      </w:r>
      <w:r>
        <w:rPr>
          <w:color w:val="000000"/>
          <w:i w:val="1"/>
          <w:iCs w:val="1"/>
        </w:rPr>
        <w:t xml:space="preserve">: </w:t>
      </w:r>
      <w:r>
        <w:rPr>
          <w:color w:val="000000"/>
          <w:i w:val="1"/>
          <w:iCs w:val="1"/>
        </w:rPr>
        <w:t xml:space="preserve">Aid Man</w:t>
      </w:r>
      <w:r>
        <w:rPr>
          <w:i w:val="1"/>
          <w:iCs w:val="1"/>
        </w:rPr>
        <w:t xml:space="preserve">agement Information System</w:t>
      </w:r>
    </w:p>
    <w:p>
      <w:pPr/>
      <w:r>
        <w:rPr>
          <w:b w:val="1"/>
          <w:bCs w:val="1"/>
        </w:rPr>
        <w:t xml:space="preserve">Note</w:t>
      </w:r>
      <w:r>
        <w:rPr>
          <w:b w:val="1"/>
          <w:bCs w:val="1"/>
        </w:rPr>
        <w:t xml:space="preserve">: </w:t>
      </w:r>
      <w:r>
        <w:rPr>
          <w:b w:val="1"/>
          <w:bCs w:val="1"/>
        </w:rPr>
        <w:t xml:space="preserve">The Agreement Amount is not comparable with disbursement because disbursement here accounts for disbursement of each fiscal year only, whereas Agreement Amount refers to the project cost over the period </w:t>
      </w:r>
      <w:r>
        <w:rPr>
          <w:b w:val="1"/>
          <w:bCs w:val="1"/>
        </w:rPr>
        <w:t xml:space="preserve">(</w:t>
      </w:r>
      <w:r>
        <w:rPr>
          <w:b w:val="1"/>
          <w:bCs w:val="1"/>
        </w:rPr>
        <w:t xml:space="preserve">not only for single fiscal year but also beyond</w:t>
      </w:r>
      <w:r>
        <w:rPr>
          <w:b w:val="1"/>
          <w:bCs w:val="1"/>
        </w:rPr>
        <w:t xml:space="preserve">).</w:t>
      </w:r>
    </w:p>
    <w:p>
      <w:pPr/>
      <w:r>
        <w:rPr>
          <w:color w:val="2596be"/>
          <w:b w:val="1"/>
          <w:bCs w:val="1"/>
        </w:rPr>
        <w:t xml:space="preserve">Development Cooperation Strategy</w:t>
      </w:r>
    </w:p>
    <w:p>
      <w:pPr>
        <w:jc w:val="both"/>
      </w:pPr>
      <w:r>
        <w:rPr>
          <w:color w:val="black"/>
          <w:shd w:val="clear" w:fill="white"/>
        </w:rPr>
        <w:t xml:space="preserve">Kuwait has been supporting Nepal by providing soft loans for projects, especially in the areas of hydropower generation and irrigation</w:t>
      </w:r>
      <w:r>
        <w:rPr>
          <w:color w:val="black"/>
          <w:shd w:val="clear" w:fill="white"/>
        </w:rPr>
        <w:t xml:space="preserve">.</w:t>
      </w:r>
    </w:p>
    <w:p>
      <w:pPr/>
      <w:r>
        <w:rPr>
          <w:color w:val="2596be"/>
          <w:b w:val="1"/>
          <w:bCs w:val="1"/>
        </w:rPr>
        <w:t xml:space="preserve">Updated</w:t>
      </w:r>
    </w:p>
    <w:p>
      <w:pPr>
        <w:jc w:val="both"/>
      </w:pPr>
      <w:r>
        <w:rPr/>
        <w:t xml:space="preserve">Agriculture and Industry Sector/ IECCD</w:t>
      </w:r>
      <w:br/>
      <w:r>
        <w:rPr/>
        <w:t xml:space="preserve">January 2022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color w:val="000000"/>
      </w:rP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600pt; height:30pt; margin-left:0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DE25D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3">
    <w:nsid w:val="70B1AA1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2024-04-24T12:11:04+00:00</dcterms:created>
  <dcterms:modified xsi:type="dcterms:W3CDTF">2024-04-24T12:11:04+00:00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