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25000" w:type="dxa"/>
      </w:tblGrid>
      <w:tr>
        <w:trPr/>
        <w:tc>
          <w:tcPr>
            <w:tcW w:w="5000" w:type="dxa"/>
          </w:tcPr>
          <w:p>
            <w:pPr>
              <w:jc w:val="left"/>
            </w:pPr>
            <w:r>
              <w:pict>
                <v:shape type="#_x0000_t75" stroked="f" style="width:227.52pt; height:126.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5000" w:type="dxa"/>
          </w:tcPr>
          <w:p>
            <w:pPr>
              <w:ind w:left="540" w:right="120"/>
              <w:spacing w:before="400" w:after="400"/>
            </w:pPr>
            <w:r>
              <w:rPr>
                <w:color w:val="green"/>
                <w:sz w:val="44"/>
                <w:szCs w:val="44"/>
                <w:b w:val="1"/>
                <w:bCs w:val="1"/>
              </w:rPr>
              <w:t xml:space="preserve">Asian Development Bank</w:t>
            </w:r>
          </w:p>
        </w:tc>
      </w:tr>
    </w:tbl>
    <w:p>
      <w:pPr/>
      <w:r>
        <w:rPr>
          <w:b w:val="1"/>
          <w:bCs w:val="1"/>
        </w:rPr>
        <w:t xml:space="preserve">Partnership of Nepal with ADB began in 1966 as its founding member. </w:t>
      </w:r>
      <w:r>
        <w:rPr>
          <w:b w:val="1"/>
          <w:bCs w:val="1"/>
        </w:rPr>
        <w:t xml:space="preserve">ADB is committed to achieving a prosperous, inclusive, resilient and sustainable Asia and the Pacific. </w:t>
      </w:r>
      <w:r>
        <w:rPr>
          <w:b w:val="1"/>
          <w:bCs w:val="1"/>
        </w:rPr>
        <w:t xml:space="preserve">ADB, based on Country Partnership Strategy (2020–2024), supports environmentally sustainable and private sector led growth in Nepal. </w:t>
      </w:r>
    </w:p>
    <w:p>
      <w:pPr/>
      <w:r>
        <w:rPr>
          <w:color w:val="0070c0"/>
          <w:b w:val="1"/>
          <w:bCs w:val="1"/>
        </w:rPr>
        <w:t xml:space="preserve">Organization </w:t>
      </w:r>
    </w:p>
    <w:p>
      <w:pPr>
        <w:jc w:val="both"/>
      </w:pPr>
      <w:r>
        <w:rPr>
          <w:color w:val="black"/>
        </w:rPr>
        <w:t xml:space="preserve">The Asian Development Bank </w:t>
      </w:r>
      <w:r>
        <w:rPr>
          <w:color w:val="black"/>
        </w:rPr>
        <w:t xml:space="preserve">(</w:t>
      </w:r>
      <w:r>
        <w:rPr>
          <w:color w:val="black"/>
        </w:rPr>
        <w:t xml:space="preserve">ADB</w:t>
      </w:r>
      <w:r>
        <w:rPr>
          <w:color w:val="black"/>
        </w:rPr>
        <w:t xml:space="preserve">)</w:t>
      </w:r>
      <w:r>
        <w:rPr>
          <w:color w:val="black"/>
        </w:rPr>
        <w:t xml:space="preserve">, a multilateral development bank, was established in 1966</w:t>
      </w:r>
      <w:r>
        <w:rPr>
          <w:color w:val="black"/>
        </w:rPr>
        <w:t xml:space="preserve">. </w:t>
      </w:r>
      <w:r>
        <w:rPr>
          <w:color w:val="black"/>
        </w:rPr>
        <w:t xml:space="preserve">It is owned by 67 members, 48 of which are regional members from Asia and the Pacific providing 63</w:t>
      </w:r>
      <w:r>
        <w:rPr>
          <w:color w:val="black"/>
        </w:rPr>
        <w:t xml:space="preserve">.</w:t>
      </w:r>
      <w:r>
        <w:rPr>
          <w:color w:val="black"/>
        </w:rPr>
        <w:t xml:space="preserve">5</w:t>
      </w:r>
      <w:r>
        <w:rPr>
          <w:color w:val="black"/>
        </w:rPr>
        <w:t xml:space="preserve">% </w:t>
      </w:r>
      <w:r>
        <w:rPr>
          <w:color w:val="black"/>
        </w:rPr>
        <w:t xml:space="preserve">of its capital, and 19 non</w:t>
      </w:r>
      <w:r>
        <w:rPr>
          <w:color w:val="black"/>
        </w:rPr>
        <w:t xml:space="preserve">-</w:t>
      </w:r>
      <w:r>
        <w:rPr>
          <w:color w:val="black"/>
        </w:rPr>
        <w:t xml:space="preserve">regional members providing 36</w:t>
      </w:r>
      <w:r>
        <w:rPr>
          <w:color w:val="black"/>
        </w:rPr>
        <w:t xml:space="preserve">.</w:t>
      </w:r>
      <w:r>
        <w:rPr>
          <w:color w:val="black"/>
        </w:rPr>
        <w:t xml:space="preserve">5</w:t>
      </w:r>
      <w:r>
        <w:rPr>
          <w:color w:val="black"/>
        </w:rPr>
        <w:t xml:space="preserve">% </w:t>
      </w:r>
      <w:r>
        <w:rPr>
          <w:color w:val="black"/>
        </w:rPr>
        <w:t xml:space="preserve">of its capital</w:t>
      </w:r>
      <w:r>
        <w:rPr>
          <w:color w:val="black"/>
        </w:rPr>
        <w:t xml:space="preserve">. </w:t>
      </w:r>
      <w:r>
        <w:rPr>
          <w:color w:val="black"/>
        </w:rPr>
        <w:t xml:space="preserve">The headquarters of the Bank is in Manila, the Philippines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The main instruments of ADB assistances are loans, technical assistance </w:t>
      </w:r>
      <w:r>
        <w:rPr>
          <w:color w:val="black"/>
        </w:rPr>
        <w:t xml:space="preserve">(</w:t>
      </w:r>
      <w:r>
        <w:rPr>
          <w:color w:val="black"/>
        </w:rPr>
        <w:t xml:space="preserve">TA</w:t>
      </w:r>
      <w:r>
        <w:rPr>
          <w:color w:val="black"/>
        </w:rPr>
        <w:t xml:space="preserve">)</w:t>
      </w:r>
      <w:r>
        <w:rPr>
          <w:color w:val="black"/>
        </w:rPr>
        <w:t xml:space="preserve">, grants, guarantees, and equity investments</w:t>
      </w:r>
      <w:r>
        <w:rPr>
          <w:color w:val="black"/>
        </w:rPr>
        <w:t xml:space="preserve">. </w:t>
      </w:r>
      <w:r>
        <w:rPr>
          <w:color w:val="black"/>
        </w:rPr>
        <w:t xml:space="preserve">These instruments are financed through Ordinary Capital Resources </w:t>
      </w:r>
      <w:r>
        <w:rPr>
          <w:color w:val="black"/>
        </w:rPr>
        <w:t xml:space="preserve">(</w:t>
      </w:r>
      <w:r>
        <w:rPr>
          <w:color w:val="black"/>
        </w:rPr>
        <w:t xml:space="preserve">OCR</w:t>
      </w:r>
      <w:r>
        <w:rPr>
          <w:color w:val="black"/>
        </w:rPr>
        <w:t xml:space="preserve">)</w:t>
      </w:r>
      <w:r>
        <w:rPr>
          <w:color w:val="black"/>
        </w:rPr>
        <w:t xml:space="preserve">, special funds, and trust funds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ADB provides loan assistance through two windows, namely the OCR and Asian Development Fund </w:t>
      </w:r>
      <w:r>
        <w:rPr>
          <w:color w:val="black"/>
        </w:rPr>
        <w:t xml:space="preserve">(</w:t>
      </w:r>
      <w:r>
        <w:rPr>
          <w:color w:val="black"/>
        </w:rPr>
        <w:t xml:space="preserve">ADF</w:t>
      </w:r>
      <w:r>
        <w:rPr>
          <w:color w:val="black"/>
        </w:rPr>
        <w:t xml:space="preserve">). </w:t>
      </w:r>
      <w:r>
        <w:rPr>
          <w:color w:val="black"/>
        </w:rPr>
        <w:t xml:space="preserve">OCR is a commercial window for loans with market</w:t>
      </w:r>
      <w:r>
        <w:rPr>
          <w:color w:val="black"/>
        </w:rPr>
        <w:t xml:space="preserve">-</w:t>
      </w:r>
      <w:r>
        <w:rPr>
          <w:color w:val="black"/>
        </w:rPr>
        <w:t xml:space="preserve">based interest rates</w:t>
      </w:r>
      <w:r>
        <w:rPr>
          <w:color w:val="black"/>
        </w:rPr>
        <w:t xml:space="preserve">. </w:t>
      </w:r>
      <w:r>
        <w:rPr>
          <w:color w:val="black"/>
        </w:rPr>
        <w:t xml:space="preserve">To finance its OCR lending operations, ADB issues debt securities in the international and domestic capital markets</w:t>
      </w:r>
      <w:r>
        <w:rPr>
          <w:color w:val="black"/>
        </w:rPr>
        <w:t xml:space="preserve">. </w:t>
      </w:r>
    </w:p>
    <w:p>
      <w:pPr/>
      <w:r>
        <w:rPr>
          <w:color w:val="0070c0"/>
          <w:b w:val="1"/>
          <w:bCs w:val="1"/>
        </w:rPr>
        <w:t xml:space="preserve">Development Cooperation</w:t>
      </w:r>
    </w:p>
    <w:p>
      <w:pPr>
        <w:jc w:val="both"/>
      </w:pPr>
      <w:r>
        <w:rPr>
          <w:color w:val="black"/>
        </w:rPr>
        <w:t xml:space="preserve">The development partnership between Nepal and ADB began in 1966 when Nepal joined ADB as a founding member</w:t>
      </w:r>
      <w:r>
        <w:rPr>
          <w:color w:val="black"/>
        </w:rPr>
        <w:t xml:space="preserve">. </w:t>
      </w:r>
      <w:r>
        <w:rPr>
          <w:color w:val="black"/>
        </w:rPr>
        <w:t xml:space="preserve">ADB provides assistance to Nepal according to the provisions of its Charter, regulations and operational policies for ordinary operation, special operation and co</w:t>
      </w:r>
      <w:r>
        <w:rPr>
          <w:color w:val="black"/>
        </w:rPr>
        <w:t xml:space="preserve">-</w:t>
      </w:r>
      <w:r>
        <w:rPr>
          <w:color w:val="black"/>
        </w:rPr>
        <w:t xml:space="preserve">financing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In addition, ADB has also approved assistance to Nepalese private sector undertakings under its non</w:t>
      </w:r>
      <w:r>
        <w:rPr>
          <w:color w:val="black"/>
        </w:rPr>
        <w:t xml:space="preserve">-</w:t>
      </w:r>
      <w:r>
        <w:rPr>
          <w:color w:val="black"/>
        </w:rPr>
        <w:t xml:space="preserve">sovereign operations</w:t>
      </w:r>
      <w:r>
        <w:rPr>
          <w:color w:val="black"/>
        </w:rPr>
        <w:t xml:space="preserve">. </w:t>
      </w:r>
      <w:r>
        <w:rPr>
          <w:color w:val="black"/>
        </w:rPr>
        <w:t xml:space="preserve">Non</w:t>
      </w:r>
      <w:r>
        <w:rPr>
          <w:color w:val="black"/>
        </w:rPr>
        <w:t xml:space="preserve">-</w:t>
      </w:r>
      <w:r>
        <w:rPr>
          <w:color w:val="black"/>
        </w:rPr>
        <w:t xml:space="preserve">sovereign operations comprise the provision of any loan, guarantee, equity investment, or other financing arrangement to privately held, state</w:t>
      </w:r>
      <w:r>
        <w:rPr>
          <w:color w:val="black"/>
        </w:rPr>
        <w:t xml:space="preserve">-</w:t>
      </w:r>
      <w:r>
        <w:rPr>
          <w:color w:val="black"/>
        </w:rPr>
        <w:t xml:space="preserve">owned, or sub</w:t>
      </w:r>
      <w:r>
        <w:rPr>
          <w:color w:val="black"/>
        </w:rPr>
        <w:t xml:space="preserve">-</w:t>
      </w:r>
      <w:r>
        <w:rPr>
          <w:color w:val="black"/>
        </w:rPr>
        <w:t xml:space="preserve">sovereign entities</w:t>
      </w:r>
      <w:r>
        <w:rPr>
          <w:color w:val="black"/>
        </w:rPr>
        <w:t xml:space="preserve">. </w:t>
      </w:r>
      <w:r>
        <w:rPr>
          <w:color w:val="black"/>
        </w:rPr>
        <w:t xml:space="preserve">Assistance is mostly in the form of loans, grants and technical assistance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black"/>
        </w:rPr>
        <w:t xml:space="preserve">ADB actively undertakes annual country programming review exercises to promote policy dialogue and discuss sector development priorities; as well as project implementation challenges with the Government of Nepal and other development partners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ADB is also a key contributor to the Nepal Portfolio Performance Review, organized between the Government and 13 development partners, to enhance the efficiency and effectiveness of the country</w:t>
      </w:r>
      <w:r>
        <w:rPr>
          <w:color w:val="black"/>
        </w:rPr>
        <w:t xml:space="preserve">’</w:t>
      </w:r>
      <w:r>
        <w:rPr>
          <w:color w:val="black"/>
        </w:rPr>
        <w:t xml:space="preserve">s development projects, and to move toward the adoption of the principles of the Paris Declaration for making aid more effective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0070c0"/>
          <w:b w:val="1"/>
          <w:bCs w:val="1"/>
        </w:rPr>
        <w:t xml:space="preserve">Major Support by Sector</w:t>
      </w:r>
    </w:p>
    <w:p>
      <w:pPr>
        <w:jc w:val="both"/>
      </w:pPr>
      <w:r>
        <w:rPr>
          <w:color w:val="black"/>
        </w:rPr>
        <w:t xml:space="preserve">The Top five sectors of ADB assistance are</w:t>
      </w:r>
      <w:r>
        <w:rPr>
          <w:color w:val="black"/>
        </w:rPr>
        <w:t xml:space="preserve">: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Education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Energy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Urban development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 Drinking water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Road Transportation</w:t>
      </w:r>
    </w:p>
    <w:p>
      <w:pPr/>
      <w:r>
        <w:pict>
          <v:shape type="#_x0000_t75" stroked="f" style="width:500pt; height:300pt; margin-left:0pt; margin-top:0pt; mso-position-horizontal:left; mso-position-vertical:top; mso-position-horizontal-relative:margin; mso-position-vertical-relative:line;">
            <w10:wrap type="square"/>
            <v:imagedata r:id="rId8" o:title=""/>
          </v:shape>
        </w:pict>
      </w:r>
    </w:p>
    <w:p>
      <w:pPr>
        <w:jc w:val="both"/>
      </w:pPr>
      <w:r>
        <w:rPr>
          <w:color w:val="0070c0"/>
          <w:b w:val="1"/>
          <w:bCs w:val="1"/>
        </w:rPr>
        <w:t xml:space="preserve">Large Projects</w:t>
      </w:r>
    </w:p>
    <w:p>
      <w:pPr>
        <w:jc w:val="both"/>
      </w:pPr>
      <w:r>
        <w:rPr>
          <w:color w:val="black"/>
        </w:rPr>
        <w:t xml:space="preserve">The followings are the five largest ADB funded projects selected from among the several ongoing projects</w:t>
      </w:r>
      <w:r>
        <w:rPr>
          <w:color w:val="black"/>
        </w:rPr>
        <w:t xml:space="preserve">: </w:t>
      </w:r>
    </w:p>
    <w:p>
      <w:pPr>
        <w:numPr>
          <w:ilvl w:val="0"/>
          <w:numId w:val="3"/>
        </w:numPr>
      </w:pPr>
      <w:r>
        <w:rPr>
          <w:color w:val="black"/>
        </w:rPr>
        <w:t xml:space="preserve"> Power Transmission and Distribution Efficiency Enhancement Project;</w:t>
      </w:r>
    </w:p>
    <w:p>
      <w:pPr>
        <w:numPr>
          <w:ilvl w:val="0"/>
          <w:numId w:val="3"/>
        </w:numPr>
      </w:pPr>
      <w:r>
        <w:rPr/>
        <w:t xml:space="preserve"> </w:t>
      </w:r>
      <w:r>
        <w:rPr>
          <w:color w:val="black"/>
        </w:rPr>
        <w:t xml:space="preserve">South Asia Sub Regional Economic Cooperation Power System Expansion Project </w:t>
      </w:r>
      <w:r>
        <w:rPr>
          <w:color w:val="black"/>
        </w:rPr>
        <w:t xml:space="preserve">(</w:t>
      </w:r>
      <w:r>
        <w:rPr>
          <w:color w:val="black"/>
        </w:rPr>
        <w:t xml:space="preserve">SASEC</w:t>
      </w:r>
    </w:p>
    <w:p>
      <w:pPr>
        <w:numPr>
          <w:ilvl w:val="0"/>
          <w:numId w:val="3"/>
        </w:numPr>
      </w:pPr>
      <w:r>
        <w:rPr>
          <w:color w:val="black"/>
        </w:rPr>
        <w:t xml:space="preserve"> Disaster Risk Resilience for Public School Infrastructure and Communities Project; </w:t>
      </w:r>
    </w:p>
    <w:p>
      <w:pPr>
        <w:numPr>
          <w:ilvl w:val="0"/>
          <w:numId w:val="3"/>
        </w:numPr>
      </w:pPr>
      <w:r>
        <w:rPr>
          <w:color w:val="black"/>
        </w:rPr>
        <w:t xml:space="preserve">Second Kathmandu Valley Water Supply Improvement Project</w:t>
      </w:r>
      <w:r>
        <w:rPr>
          <w:color w:val="black"/>
        </w:rPr>
        <w:t xml:space="preserve">.</w:t>
      </w:r>
    </w:p>
    <w:p>
      <w:pPr>
        <w:numPr>
          <w:ilvl w:val="0"/>
          <w:numId w:val="3"/>
        </w:numPr>
      </w:pPr>
      <w:r>
        <w:rPr>
          <w:color w:val="black"/>
        </w:rPr>
        <w:t xml:space="preserve">Mugling </w:t>
      </w:r>
      <w:r>
        <w:rPr>
          <w:color w:val="black"/>
        </w:rPr>
        <w:t xml:space="preserve">- </w:t>
      </w:r>
      <w:r>
        <w:rPr>
          <w:color w:val="black"/>
        </w:rPr>
        <w:t xml:space="preserve">Pokhara Highway Improvement Project</w:t>
      </w:r>
    </w:p>
    <w:p>
      <w:pPr>
        <w:jc w:val="both"/>
      </w:pPr>
      <w:r>
        <w:rPr>
          <w:color w:val="0070c0"/>
          <w:b w:val="1"/>
          <w:bCs w:val="1"/>
        </w:rPr>
        <w:t xml:space="preserve">Disbursement during FYs 2016</w:t>
      </w:r>
      <w:r>
        <w:rPr>
          <w:color w:val="0070c0"/>
          <w:b w:val="1"/>
          <w:bCs w:val="1"/>
        </w:rPr>
        <w:t xml:space="preserve">/</w:t>
      </w:r>
      <w:r>
        <w:rPr>
          <w:color w:val="0070c0"/>
          <w:b w:val="1"/>
          <w:bCs w:val="1"/>
        </w:rPr>
        <w:t xml:space="preserve">17 to 2020</w:t>
      </w:r>
      <w:r>
        <w:rPr>
          <w:color w:val="0070c0"/>
          <w:b w:val="1"/>
          <w:bCs w:val="1"/>
        </w:rPr>
        <w:t xml:space="preserve">/</w:t>
      </w:r>
      <w:r>
        <w:rPr>
          <w:color w:val="0070c0"/>
          <w:b w:val="1"/>
          <w:bCs w:val="1"/>
        </w:rPr>
        <w:t xml:space="preserve">21 </w:t>
      </w:r>
      <w:r>
        <w:rPr>
          <w:color w:val="0070c0"/>
          <w:b w:val="1"/>
          <w:bCs w:val="1"/>
        </w:rPr>
        <w:t xml:space="preserve">(</w:t>
      </w:r>
      <w:r>
        <w:rPr>
          <w:color w:val="0070c0"/>
          <w:b w:val="1"/>
          <w:bCs w:val="1"/>
        </w:rPr>
        <w:t xml:space="preserve">in US$</w:t>
      </w:r>
      <w:r>
        <w:rPr>
          <w:color w:val="0070c0"/>
          <w:b w:val="1"/>
          <w:bCs w:val="1"/>
        </w:rPr>
        <w:t xml:space="preserve">)</w:t>
      </w:r>
    </w:p>
    <w:p>
      <w:pPr>
        <w:jc w:val="both"/>
      </w:pPr>
      <w:r>
        <w:rPr>
          <w:color w:val="black"/>
        </w:rPr>
        <w:t xml:space="preserve">Over a period of 5 years beginning from FY 2016</w:t>
      </w:r>
      <w:r>
        <w:rPr>
          <w:color w:val="black"/>
        </w:rPr>
        <w:t xml:space="preserve">/</w:t>
      </w:r>
      <w:r>
        <w:rPr>
          <w:color w:val="black"/>
        </w:rPr>
        <w:t xml:space="preserve">17 to FY 2020</w:t>
      </w:r>
      <w:r>
        <w:rPr>
          <w:color w:val="black"/>
        </w:rPr>
        <w:t xml:space="preserve">/</w:t>
      </w:r>
      <w:r>
        <w:rPr>
          <w:color w:val="black"/>
        </w:rPr>
        <w:t xml:space="preserve">21, ADB has disbursed a total of US $ 1810</w:t>
      </w:r>
      <w:r>
        <w:rPr>
          <w:color w:val="black"/>
        </w:rPr>
        <w:t xml:space="preserve">.</w:t>
      </w:r>
      <w:r>
        <w:rPr>
          <w:color w:val="black"/>
        </w:rPr>
        <w:t xml:space="preserve">8 million to Nepal</w:t>
      </w:r>
      <w:r>
        <w:rPr>
          <w:color w:val="black"/>
        </w:rPr>
        <w:t xml:space="preserve">.  </w:t>
      </w:r>
      <w:r>
        <w:rPr/>
        <w:t xml:space="preserve">In terms of actual disbursement, it is the second highest-disbursing partner among multilateral DPs.</w:t>
      </w:r>
      <w:r>
        <w:rPr>
          <w:color w:val="black"/>
        </w:rPr>
        <w:t xml:space="preserve"> The highest level of disbursement from ADB took place in fiscal year 2019</w:t>
      </w:r>
      <w:r>
        <w:rPr>
          <w:color w:val="black"/>
        </w:rPr>
        <w:t xml:space="preserve">/</w:t>
      </w:r>
      <w:r>
        <w:rPr>
          <w:color w:val="black"/>
        </w:rPr>
        <w:t xml:space="preserve">20, with an amount of US $ 611</w:t>
      </w:r>
      <w:r>
        <w:rPr>
          <w:color w:val="black"/>
        </w:rPr>
        <w:t xml:space="preserve">.</w:t>
      </w:r>
      <w:r>
        <w:rPr>
          <w:color w:val="black"/>
        </w:rPr>
        <w:t xml:space="preserve">4 million</w:t>
      </w:r>
      <w:r>
        <w:rPr>
          <w:color w:val="black"/>
        </w:rPr>
        <w:t xml:space="preserve">. </w:t>
      </w:r>
      <w:r>
        <w:rPr>
          <w:color w:val="black"/>
        </w:rPr>
        <w:t xml:space="preserve">The average annual disbursement over the five year from ADB is US $ 362</w:t>
      </w:r>
      <w:r>
        <w:rPr>
          <w:color w:val="black"/>
        </w:rPr>
        <w:t xml:space="preserve">.</w:t>
      </w:r>
      <w:r>
        <w:rPr>
          <w:color w:val="black"/>
        </w:rPr>
        <w:t xml:space="preserve">1 million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In the last five</w:t>
      </w:r>
      <w:r>
        <w:rPr>
          <w:color w:val="black"/>
        </w:rPr>
        <w:t xml:space="preserve">-</w:t>
      </w:r>
      <w:r>
        <w:rPr>
          <w:color w:val="black"/>
        </w:rPr>
        <w:t xml:space="preserve">year period ADB has committed to provide US $ 3636</w:t>
      </w:r>
      <w:r>
        <w:rPr>
          <w:color w:val="black"/>
        </w:rPr>
        <w:t xml:space="preserve">.</w:t>
      </w:r>
      <w:r>
        <w:rPr>
          <w:color w:val="black"/>
        </w:rPr>
        <w:t xml:space="preserve">8 million to Nepal through separate agreements</w:t>
      </w:r>
      <w:r>
        <w:rPr>
          <w:color w:val="black"/>
        </w:rPr>
        <w:t xml:space="preserve">. </w:t>
      </w:r>
      <w:r>
        <w:rPr>
          <w:color w:val="black"/>
        </w:rPr>
        <w:t xml:space="preserve">The highest level of ADB commitment was made of an amount of US $ 1830</w:t>
      </w:r>
      <w:r>
        <w:rPr>
          <w:color w:val="black"/>
        </w:rPr>
        <w:t xml:space="preserve">.</w:t>
      </w:r>
      <w:r>
        <w:rPr>
          <w:color w:val="black"/>
        </w:rPr>
        <w:t xml:space="preserve">7 million in fiscal year 2018</w:t>
      </w:r>
      <w:r>
        <w:rPr>
          <w:color w:val="black"/>
        </w:rPr>
        <w:t xml:space="preserve">/</w:t>
      </w:r>
      <w:r>
        <w:rPr>
          <w:color w:val="black"/>
        </w:rPr>
        <w:t xml:space="preserve">19</w:t>
      </w:r>
      <w:r>
        <w:rPr>
          <w:color w:val="black"/>
        </w:rPr>
        <w:t xml:space="preserve">. </w:t>
      </w:r>
    </w:p>
    <w:tbl>
      <w:tblGrid>
        <w:gridCol w:w="3120" w:type="dxa"/>
        <w:gridCol w:w="3120" w:type="dxa"/>
        <w:gridCol w:w="312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3120" w:type="dxa"/>
            <w:vAlign w:val="top"/>
            <w:tcBorders>
              <w:top w:val="single" w:sz="7" w:color="solid"/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Fiscal Year</w:t>
            </w:r>
          </w:p>
        </w:tc>
        <w:tc>
          <w:tcPr>
            <w:tcW w:w="3120" w:type="dxa"/>
            <w:vAlign w:val="top"/>
            <w:tcBorders>
              <w:top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Agreement Amount</w:t>
            </w:r>
          </w:p>
        </w:tc>
        <w:tc>
          <w:tcPr>
            <w:tcW w:w="3120" w:type="dxa"/>
            <w:vAlign w:val="top"/>
            <w:tcBorders>
              <w:top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Disbursement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2016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17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151,931,165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253,898,091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2017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18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437,225,000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291,693,735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2018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19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1,830,725,000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292,484,030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2019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20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661,000,000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611,453,523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2020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21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556,000,000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251,055,059</w:t>
            </w:r>
          </w:p>
        </w:tc>
      </w:tr>
    </w:tbl>
    <w:p>
      <w:pPr>
        <w:jc w:val="end"/>
      </w:pPr>
      <w:r>
        <w:rPr>
          <w:i w:val="1"/>
          <w:iCs w:val="1"/>
        </w:rPr>
        <w:t xml:space="preserve">Source</w:t>
      </w:r>
      <w:r>
        <w:rPr>
          <w:i w:val="1"/>
          <w:iCs w:val="1"/>
        </w:rPr>
        <w:t xml:space="preserve">: </w:t>
      </w:r>
      <w:r>
        <w:rPr>
          <w:i w:val="1"/>
          <w:iCs w:val="1"/>
        </w:rPr>
        <w:t xml:space="preserve">Aid Management Information System</w:t>
      </w:r>
    </w:p>
    <w:p>
      <w:pPr/>
      <w:r>
        <w:rPr>
          <w:b w:val="1"/>
          <w:bCs w:val="1"/>
        </w:rPr>
        <w:t xml:space="preserve"> Note</w:t>
      </w:r>
      <w:r>
        <w:rPr>
          <w:b w:val="1"/>
          <w:bCs w:val="1"/>
        </w:rPr>
        <w:t xml:space="preserve">: </w:t>
      </w:r>
      <w:r>
        <w:rPr>
          <w:b w:val="1"/>
          <w:bCs w:val="1"/>
        </w:rPr>
        <w:t xml:space="preserve">The Agreement Amount is not comparable with disbursement because disbursement here accounts for disbursement of each fiscal year only, whereas Agreement Amount refers to the project cost over the period </w:t>
      </w:r>
      <w:r>
        <w:rPr>
          <w:b w:val="1"/>
          <w:bCs w:val="1"/>
        </w:rPr>
        <w:t xml:space="preserve">(</w:t>
      </w:r>
      <w:r>
        <w:rPr>
          <w:b w:val="1"/>
          <w:bCs w:val="1"/>
        </w:rPr>
        <w:t xml:space="preserve">not only for single fiscal year but also beyond</w:t>
      </w:r>
      <w:r>
        <w:rPr>
          <w:b w:val="1"/>
          <w:bCs w:val="1"/>
        </w:rPr>
        <w:t xml:space="preserve">).</w:t>
      </w:r>
    </w:p>
    <w:p>
      <w:pPr>
        <w:jc w:val="both"/>
      </w:pPr>
      <w:r>
        <w:rPr>
          <w:color w:val="0070ba"/>
          <w:b w:val="1"/>
          <w:bCs w:val="1"/>
        </w:rPr>
        <w:t xml:space="preserve">Country Partnership Strategy </w:t>
      </w:r>
      <w:r>
        <w:rPr>
          <w:color w:val="0070ba"/>
          <w:b w:val="1"/>
          <w:bCs w:val="1"/>
        </w:rPr>
        <w:t xml:space="preserve">(</w:t>
      </w:r>
      <w:r>
        <w:rPr>
          <w:color w:val="0070ba"/>
          <w:b w:val="1"/>
          <w:bCs w:val="1"/>
        </w:rPr>
        <w:t xml:space="preserve">CPS</w:t>
      </w:r>
      <w:r>
        <w:rPr>
          <w:color w:val="0070ba"/>
          <w:b w:val="1"/>
          <w:bCs w:val="1"/>
        </w:rPr>
        <w:t xml:space="preserve">)</w:t>
      </w:r>
    </w:p>
    <w:p>
      <w:pPr>
        <w:jc w:val="both"/>
      </w:pPr>
      <w:r>
        <w:rPr>
          <w:color w:val="black"/>
        </w:rPr>
        <w:t xml:space="preserve">ADB implements its development partnership through its ongoing Country Partnership Strategy </w:t>
      </w:r>
      <w:r>
        <w:rPr>
          <w:color w:val="black"/>
        </w:rPr>
        <w:t xml:space="preserve">(</w:t>
      </w:r>
      <w:r>
        <w:rPr>
          <w:color w:val="black"/>
        </w:rPr>
        <w:t xml:space="preserve">CPS</w:t>
      </w:r>
      <w:r>
        <w:rPr>
          <w:color w:val="black"/>
        </w:rPr>
        <w:t xml:space="preserve">). </w:t>
      </w:r>
      <w:r>
        <w:rPr>
          <w:color w:val="black"/>
        </w:rPr>
        <w:t xml:space="preserve">In September 2019 a five year country partnership strategy was agreed</w:t>
      </w:r>
      <w:r>
        <w:rPr>
          <w:color w:val="black"/>
        </w:rPr>
        <w:t xml:space="preserve">. </w:t>
      </w:r>
      <w:r>
        <w:rPr/>
        <w:t xml:space="preserve">As stated in the CPS, 2020–2024, the Asian Development Bank (ADB) has declared three objectives of its involvement:</w:t>
      </w:r>
    </w:p>
    <w:p>
      <w:pPr>
        <w:numPr>
          <w:ilvl w:val="0"/>
          <w:numId w:val="4"/>
        </w:numPr>
      </w:pPr>
      <w:r>
        <w:rPr/>
        <w:t xml:space="preserve">improved infrastructure for private sector-led growth,</w:t>
      </w:r>
    </w:p>
    <w:p>
      <w:pPr>
        <w:numPr>
          <w:ilvl w:val="0"/>
          <w:numId w:val="4"/>
        </w:numPr>
      </w:pPr>
      <w:r>
        <w:rPr/>
        <w:t xml:space="preserve">improved access to devolved services, and</w:t>
      </w:r>
    </w:p>
    <w:p>
      <w:pPr>
        <w:numPr>
          <w:ilvl w:val="0"/>
          <w:numId w:val="4"/>
        </w:numPr>
      </w:pPr>
      <w:r>
        <w:rPr/>
        <w:t xml:space="preserve">Environmental sustainability and resilience.</w:t>
      </w:r>
    </w:p>
    <w:p>
      <w:pPr>
        <w:jc w:val="both"/>
      </w:pPr>
      <w:r>
        <w:rPr>
          <w:color w:val="4bacc6"/>
          <w:b w:val="1"/>
          <w:bCs w:val="1"/>
        </w:rPr>
        <w:t xml:space="preserve">Updated</w:t>
      </w:r>
    </w:p>
    <w:p>
      <w:pPr>
        <w:jc w:val="both"/>
      </w:pPr>
      <w:r>
        <w:rPr/>
        <w:t xml:space="preserve">Agriculture and Industry Sector / iECCD</w:t>
      </w:r>
    </w:p>
    <w:p>
      <w:pPr>
        <w:jc w:val="both"/>
      </w:pPr>
      <w:r>
        <w:rPr/>
        <w:t xml:space="preserve">January 2022</w:t>
      </w:r>
    </w:p>
    <w:p>
      <w:pPr/>
      <w:r>
        <w:rPr>
          <w:color w:val="4bacc6"/>
          <w:b w:val="1"/>
          <w:bCs w:val="1"/>
          <w:shd w:val="clear" w:fill="white"/>
        </w:rPr>
        <w:t xml:space="preserve">References</w:t>
      </w:r>
    </w:p>
    <w:p>
      <w:pPr>
        <w:numPr>
          <w:ilvl w:val="0"/>
          <w:numId w:val="5"/>
        </w:numPr>
      </w:pPr>
      <w:r>
        <w:rPr>
          <w:color w:val="787328"/>
          <w:i w:val="1"/>
          <w:iCs w:val="1"/>
        </w:rPr>
        <w:t xml:space="preserve">Asian Development Bank</w:t>
      </w:r>
      <w:r>
        <w:rPr>
          <w:color w:val="787328"/>
          <w:i w:val="1"/>
          <w:iCs w:val="1"/>
        </w:rPr>
        <w:t xml:space="preserve">: </w:t>
      </w:r>
      <w:r>
        <w:rPr>
          <w:color w:val="787328"/>
          <w:i w:val="1"/>
          <w:iCs w:val="1"/>
        </w:rPr>
        <w:t xml:space="preserve">https</w:t>
      </w:r>
      <w:r>
        <w:rPr>
          <w:color w:val="787328"/>
          <w:i w:val="1"/>
          <w:iCs w:val="1"/>
        </w:rPr>
        <w:t xml:space="preserve">://</w:t>
      </w:r>
      <w:r>
        <w:rPr>
          <w:color w:val="787328"/>
          <w:i w:val="1"/>
          <w:iCs w:val="1"/>
        </w:rPr>
        <w:t xml:space="preserve">www</w:t>
      </w:r>
      <w:r>
        <w:rPr>
          <w:color w:val="787328"/>
          <w:i w:val="1"/>
          <w:iCs w:val="1"/>
        </w:rPr>
        <w:t xml:space="preserve">.</w:t>
      </w:r>
      <w:r>
        <w:rPr>
          <w:color w:val="787328"/>
          <w:i w:val="1"/>
          <w:iCs w:val="1"/>
        </w:rPr>
        <w:t xml:space="preserve">adb</w:t>
      </w:r>
      <w:r>
        <w:rPr>
          <w:color w:val="787328"/>
          <w:i w:val="1"/>
          <w:iCs w:val="1"/>
        </w:rPr>
        <w:t xml:space="preserve">.</w:t>
      </w:r>
      <w:r>
        <w:rPr>
          <w:color w:val="787328"/>
          <w:i w:val="1"/>
          <w:iCs w:val="1"/>
        </w:rPr>
        <w:t xml:space="preserve">org</w:t>
      </w:r>
      <w:r>
        <w:rPr>
          <w:color w:val="787328"/>
          <w:i w:val="1"/>
          <w:iCs w:val="1"/>
        </w:rPr>
        <w:t xml:space="preserve">/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color w:val="000000"/>
      </w:rPr>
      <w:instrText xml:space="preserve">PAGE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600pt; height:30pt; margin-left:0pt; margin-top:0pt; mso-position-horizontal:left; mso-position-vertical:top; mso-position-horizontal-relative:char; mso-position-vertical-relative:line; z-index:-2147483647;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538F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E55A5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6A444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FF95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2024-12-03T17:34:41+00:00</dcterms:created>
  <dcterms:modified xsi:type="dcterms:W3CDTF">2024-12-03T17:34:41+00:00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